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15" w:rsidRPr="00ED2DE2" w:rsidRDefault="00376C15"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376C15" w:rsidRPr="00707ADF" w:rsidRDefault="00376C15"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376C15" w:rsidRPr="00ED2DE2" w:rsidTr="00ED2DE2">
        <w:trPr>
          <w:jc w:val="center"/>
        </w:trPr>
        <w:tc>
          <w:tcPr>
            <w:tcW w:w="1368" w:type="dxa"/>
            <w:gridSpan w:val="2"/>
            <w:tcBorders>
              <w:top w:val="single" w:sz="12" w:space="0" w:color="auto"/>
            </w:tcBorders>
            <w:shd w:val="clear" w:color="auto" w:fill="E6E6E6"/>
          </w:tcPr>
          <w:p w:rsidR="00376C15" w:rsidRPr="00ED2DE2" w:rsidRDefault="00376C15"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376C15" w:rsidRPr="00ED2DE2" w:rsidRDefault="00376C15"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376C15" w:rsidRPr="00ED2DE2" w:rsidRDefault="00376C15"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376C15" w:rsidRPr="00ED2DE2" w:rsidRDefault="00376C15" w:rsidP="00ED1BF2">
            <w:pPr>
              <w:spacing w:line="520" w:lineRule="exact"/>
              <w:jc w:val="center"/>
              <w:rPr>
                <w:rFonts w:ascii="標楷體" w:eastAsia="標楷體" w:hAnsi="標楷體"/>
              </w:rPr>
            </w:pPr>
            <w:r>
              <w:rPr>
                <w:rFonts w:ascii="標楷體" w:eastAsia="標楷體" w:hAnsi="標楷體" w:hint="eastAsia"/>
              </w:rPr>
              <w:t>宜昌國中</w:t>
            </w:r>
          </w:p>
        </w:tc>
        <w:tc>
          <w:tcPr>
            <w:tcW w:w="2160" w:type="dxa"/>
            <w:gridSpan w:val="2"/>
            <w:tcBorders>
              <w:top w:val="single" w:sz="12" w:space="0" w:color="auto"/>
            </w:tcBorders>
            <w:shd w:val="clear" w:color="auto" w:fill="E6E6E6"/>
            <w:vAlign w:val="center"/>
          </w:tcPr>
          <w:p w:rsidR="00376C15" w:rsidRPr="00ED2DE2" w:rsidRDefault="00376C15"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376C15" w:rsidRPr="00ED2DE2" w:rsidRDefault="00376C15" w:rsidP="00ED1BF2">
            <w:pPr>
              <w:spacing w:line="520" w:lineRule="exact"/>
              <w:jc w:val="center"/>
              <w:rPr>
                <w:rFonts w:ascii="標楷體" w:eastAsia="標楷體" w:hAnsi="標楷體"/>
              </w:rPr>
            </w:pPr>
            <w:r>
              <w:rPr>
                <w:rFonts w:ascii="標楷體" w:eastAsia="標楷體" w:hAnsi="標楷體"/>
              </w:rPr>
              <w:t>12</w:t>
            </w:r>
          </w:p>
        </w:tc>
      </w:tr>
      <w:tr w:rsidR="00376C15" w:rsidRPr="00ED2DE2" w:rsidTr="00ED2DE2">
        <w:trPr>
          <w:jc w:val="center"/>
        </w:trPr>
        <w:tc>
          <w:tcPr>
            <w:tcW w:w="1368" w:type="dxa"/>
            <w:gridSpan w:val="2"/>
            <w:shd w:val="clear" w:color="auto" w:fill="E6E6E6"/>
          </w:tcPr>
          <w:p w:rsidR="00376C15" w:rsidRPr="00ED2DE2" w:rsidRDefault="00376C15"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376C15" w:rsidRPr="00ED2DE2" w:rsidRDefault="00376C15" w:rsidP="00DC5DBB">
            <w:pPr>
              <w:spacing w:line="520" w:lineRule="exact"/>
              <w:jc w:val="center"/>
              <w:rPr>
                <w:rFonts w:ascii="標楷體" w:eastAsia="標楷體" w:hAnsi="標楷體"/>
              </w:rPr>
            </w:pPr>
            <w:r>
              <w:rPr>
                <w:rFonts w:ascii="標楷體" w:eastAsia="標楷體" w:hAnsi="標楷體" w:hint="eastAsia"/>
              </w:rPr>
              <w:t>生涯快樂行</w:t>
            </w:r>
          </w:p>
        </w:tc>
      </w:tr>
      <w:tr w:rsidR="00376C15" w:rsidRPr="00ED2DE2" w:rsidTr="00ED2DE2">
        <w:trPr>
          <w:jc w:val="center"/>
        </w:trPr>
        <w:tc>
          <w:tcPr>
            <w:tcW w:w="6588" w:type="dxa"/>
            <w:gridSpan w:val="5"/>
            <w:shd w:val="clear" w:color="auto" w:fill="E6E6E6"/>
            <w:vAlign w:val="center"/>
          </w:tcPr>
          <w:p w:rsidR="00376C15" w:rsidRPr="00ED2DE2" w:rsidRDefault="00376C15"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376C15" w:rsidRPr="00ED2DE2" w:rsidRDefault="00376C15"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376C15" w:rsidRPr="00ED2DE2" w:rsidRDefault="00376C15"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376C15" w:rsidRPr="00ED2DE2" w:rsidRDefault="00376C15"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376C15" w:rsidRPr="00ED2DE2" w:rsidTr="00ED2DE2">
        <w:trPr>
          <w:jc w:val="center"/>
        </w:trPr>
        <w:tc>
          <w:tcPr>
            <w:tcW w:w="465"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376C15" w:rsidRPr="00ED2DE2" w:rsidRDefault="00376C15"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376C15" w:rsidRPr="00ED2DE2" w:rsidRDefault="00376C15" w:rsidP="00A15ACB">
            <w:pPr>
              <w:rPr>
                <w:rFonts w:ascii="標楷體" w:eastAsia="標楷體" w:hAnsi="標楷體"/>
              </w:rPr>
            </w:pPr>
            <w:r>
              <w:rPr>
                <w:rFonts w:ascii="標楷體" w:eastAsia="標楷體" w:hAnsi="標楷體"/>
              </w:rPr>
              <w:t>55</w:t>
            </w:r>
          </w:p>
        </w:tc>
        <w:tc>
          <w:tcPr>
            <w:tcW w:w="1260" w:type="dxa"/>
            <w:vMerge w:val="restart"/>
          </w:tcPr>
          <w:p w:rsidR="00376C15" w:rsidRPr="00ED2DE2" w:rsidRDefault="00376C15" w:rsidP="00A15ACB">
            <w:pPr>
              <w:rPr>
                <w:rFonts w:ascii="標楷體" w:eastAsia="標楷體" w:hAnsi="標楷體"/>
              </w:rPr>
            </w:pPr>
          </w:p>
        </w:tc>
      </w:tr>
      <w:tr w:rsidR="00376C15" w:rsidRPr="00ED2DE2" w:rsidTr="00ED2DE2">
        <w:trPr>
          <w:jc w:val="center"/>
        </w:trPr>
        <w:tc>
          <w:tcPr>
            <w:tcW w:w="465"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376C15" w:rsidRPr="00ED2DE2" w:rsidRDefault="00376C15"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76C15" w:rsidRPr="00ED2DE2" w:rsidRDefault="00376C15" w:rsidP="00A15ACB">
            <w:pPr>
              <w:rPr>
                <w:rFonts w:ascii="標楷體" w:eastAsia="標楷體" w:hAnsi="標楷體"/>
              </w:rPr>
            </w:pPr>
            <w:r>
              <w:rPr>
                <w:rFonts w:ascii="標楷體" w:eastAsia="標楷體" w:hAnsi="標楷體"/>
              </w:rPr>
              <w:t>18</w:t>
            </w:r>
          </w:p>
        </w:tc>
        <w:tc>
          <w:tcPr>
            <w:tcW w:w="1260" w:type="dxa"/>
            <w:vMerge/>
          </w:tcPr>
          <w:p w:rsidR="00376C15" w:rsidRPr="00ED2DE2" w:rsidRDefault="00376C15" w:rsidP="00A15ACB">
            <w:pPr>
              <w:rPr>
                <w:rFonts w:ascii="標楷體" w:eastAsia="標楷體" w:hAnsi="標楷體"/>
              </w:rPr>
            </w:pPr>
          </w:p>
        </w:tc>
      </w:tr>
      <w:tr w:rsidR="00376C15" w:rsidRPr="00ED2DE2" w:rsidTr="00ED2DE2">
        <w:trPr>
          <w:trHeight w:val="856"/>
          <w:jc w:val="center"/>
        </w:trPr>
        <w:tc>
          <w:tcPr>
            <w:tcW w:w="465"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376C15" w:rsidRPr="00ED2DE2" w:rsidRDefault="00376C15"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376C15" w:rsidRPr="00ED2DE2" w:rsidRDefault="00376C15"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76C15" w:rsidRPr="00ED2DE2" w:rsidRDefault="00376C15" w:rsidP="00A15ACB">
            <w:pPr>
              <w:rPr>
                <w:rFonts w:ascii="標楷體" w:eastAsia="標楷體" w:hAnsi="標楷體"/>
              </w:rPr>
            </w:pPr>
            <w:r>
              <w:rPr>
                <w:rFonts w:ascii="標楷體" w:eastAsia="標楷體" w:hAnsi="標楷體"/>
              </w:rPr>
              <w:t>18</w:t>
            </w:r>
          </w:p>
        </w:tc>
        <w:tc>
          <w:tcPr>
            <w:tcW w:w="1260" w:type="dxa"/>
            <w:vMerge/>
          </w:tcPr>
          <w:p w:rsidR="00376C15" w:rsidRPr="00ED2DE2" w:rsidRDefault="00376C15" w:rsidP="00A15ACB">
            <w:pPr>
              <w:rPr>
                <w:rFonts w:ascii="標楷體" w:eastAsia="標楷體" w:hAnsi="標楷體"/>
              </w:rPr>
            </w:pPr>
          </w:p>
        </w:tc>
      </w:tr>
      <w:tr w:rsidR="00376C15" w:rsidRPr="00ED2DE2" w:rsidTr="00ED2DE2">
        <w:trPr>
          <w:trHeight w:val="1470"/>
          <w:jc w:val="center"/>
        </w:trPr>
        <w:tc>
          <w:tcPr>
            <w:tcW w:w="7308" w:type="dxa"/>
            <w:gridSpan w:val="6"/>
            <w:shd w:val="clear" w:color="auto" w:fill="E6E6E6"/>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申辦計畫特色摘述</w:t>
            </w:r>
          </w:p>
          <w:p w:rsidR="00376C15" w:rsidRPr="00ED2DE2" w:rsidRDefault="00376C15"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加分合計</w:t>
            </w:r>
          </w:p>
        </w:tc>
      </w:tr>
      <w:tr w:rsidR="00376C15" w:rsidRPr="00ED2DE2" w:rsidTr="00A610BD">
        <w:trPr>
          <w:trHeight w:val="457"/>
          <w:jc w:val="center"/>
        </w:trPr>
        <w:tc>
          <w:tcPr>
            <w:tcW w:w="7308" w:type="dxa"/>
            <w:gridSpan w:val="6"/>
            <w:tcBorders>
              <w:bottom w:val="dashed" w:sz="4" w:space="0" w:color="auto"/>
            </w:tcBorders>
          </w:tcPr>
          <w:p w:rsidR="00376C15" w:rsidRPr="00ED2DE2" w:rsidRDefault="00376C15"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活動完整多元</w:t>
            </w:r>
          </w:p>
        </w:tc>
        <w:tc>
          <w:tcPr>
            <w:tcW w:w="1440" w:type="dxa"/>
            <w:tcBorders>
              <w:bottom w:val="dashed" w:sz="4" w:space="0" w:color="auto"/>
            </w:tcBorders>
          </w:tcPr>
          <w:p w:rsidR="00376C15" w:rsidRPr="00ED2DE2" w:rsidRDefault="00376C15" w:rsidP="00A15ACB">
            <w:pPr>
              <w:rPr>
                <w:rFonts w:ascii="標楷體" w:eastAsia="標楷體" w:hAnsi="標楷體"/>
              </w:rPr>
            </w:pPr>
            <w:r>
              <w:rPr>
                <w:rFonts w:ascii="標楷體" w:eastAsia="標楷體" w:hAnsi="標楷體"/>
              </w:rPr>
              <w:t>1</w:t>
            </w:r>
          </w:p>
        </w:tc>
        <w:tc>
          <w:tcPr>
            <w:tcW w:w="1260" w:type="dxa"/>
            <w:vMerge w:val="restart"/>
          </w:tcPr>
          <w:p w:rsidR="00376C15" w:rsidRPr="00ED2DE2" w:rsidRDefault="00376C15" w:rsidP="00A15ACB">
            <w:pPr>
              <w:rPr>
                <w:rFonts w:ascii="標楷體" w:eastAsia="標楷體" w:hAnsi="標楷體"/>
              </w:rPr>
            </w:pPr>
          </w:p>
        </w:tc>
      </w:tr>
      <w:tr w:rsidR="00376C15" w:rsidRPr="00ED2DE2" w:rsidTr="00A610BD">
        <w:trPr>
          <w:trHeight w:val="507"/>
          <w:jc w:val="center"/>
        </w:trPr>
        <w:tc>
          <w:tcPr>
            <w:tcW w:w="7308" w:type="dxa"/>
            <w:gridSpan w:val="6"/>
            <w:tcBorders>
              <w:top w:val="dashed" w:sz="4" w:space="0" w:color="auto"/>
              <w:bottom w:val="dashed" w:sz="4" w:space="0" w:color="auto"/>
            </w:tcBorders>
          </w:tcPr>
          <w:p w:rsidR="00376C15" w:rsidRPr="00ED2DE2" w:rsidRDefault="00376C15" w:rsidP="00A15ACB">
            <w:pPr>
              <w:rPr>
                <w:rFonts w:ascii="標楷體" w:eastAsia="標楷體" w:hAnsi="標楷體"/>
              </w:rPr>
            </w:pPr>
            <w:r w:rsidRPr="00ED2DE2">
              <w:rPr>
                <w:rFonts w:ascii="標楷體" w:eastAsia="標楷體" w:hAnsi="標楷體"/>
              </w:rPr>
              <w:t>2.</w:t>
            </w:r>
            <w:r>
              <w:rPr>
                <w:rFonts w:ascii="標楷體" w:eastAsia="標楷體" w:hAnsi="標楷體" w:hint="eastAsia"/>
              </w:rPr>
              <w:t>檢核表清楚</w:t>
            </w:r>
          </w:p>
        </w:tc>
        <w:tc>
          <w:tcPr>
            <w:tcW w:w="1440" w:type="dxa"/>
            <w:tcBorders>
              <w:top w:val="dashed" w:sz="4" w:space="0" w:color="auto"/>
              <w:bottom w:val="dashed" w:sz="4" w:space="0" w:color="auto"/>
            </w:tcBorders>
          </w:tcPr>
          <w:p w:rsidR="00376C15" w:rsidRPr="00ED2DE2" w:rsidRDefault="00376C15" w:rsidP="00A15ACB">
            <w:pPr>
              <w:rPr>
                <w:rFonts w:ascii="標楷體" w:eastAsia="標楷體" w:hAnsi="標楷體"/>
              </w:rPr>
            </w:pPr>
            <w:r>
              <w:rPr>
                <w:rFonts w:ascii="標楷體" w:eastAsia="標楷體" w:hAnsi="標楷體"/>
              </w:rPr>
              <w:t>1</w:t>
            </w:r>
          </w:p>
        </w:tc>
        <w:tc>
          <w:tcPr>
            <w:tcW w:w="1260" w:type="dxa"/>
            <w:vMerge/>
          </w:tcPr>
          <w:p w:rsidR="00376C15" w:rsidRPr="00ED2DE2" w:rsidRDefault="00376C15" w:rsidP="00A15ACB">
            <w:pPr>
              <w:rPr>
                <w:rFonts w:ascii="標楷體" w:eastAsia="標楷體" w:hAnsi="標楷體"/>
              </w:rPr>
            </w:pPr>
          </w:p>
        </w:tc>
      </w:tr>
      <w:tr w:rsidR="00376C15" w:rsidRPr="00ED2DE2" w:rsidTr="00A610BD">
        <w:trPr>
          <w:trHeight w:val="169"/>
          <w:jc w:val="center"/>
        </w:trPr>
        <w:tc>
          <w:tcPr>
            <w:tcW w:w="7308" w:type="dxa"/>
            <w:gridSpan w:val="6"/>
            <w:tcBorders>
              <w:top w:val="dashed" w:sz="4" w:space="0" w:color="auto"/>
            </w:tcBorders>
          </w:tcPr>
          <w:p w:rsidR="00376C15" w:rsidRPr="00ED2DE2" w:rsidRDefault="00376C15"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376C15" w:rsidRPr="00ED2DE2" w:rsidRDefault="00376C15" w:rsidP="00A15ACB">
            <w:pPr>
              <w:rPr>
                <w:rFonts w:ascii="標楷體" w:eastAsia="標楷體" w:hAnsi="標楷體"/>
              </w:rPr>
            </w:pPr>
          </w:p>
        </w:tc>
        <w:tc>
          <w:tcPr>
            <w:tcW w:w="1260" w:type="dxa"/>
            <w:vMerge/>
          </w:tcPr>
          <w:p w:rsidR="00376C15" w:rsidRPr="00ED2DE2" w:rsidRDefault="00376C15" w:rsidP="00A15ACB">
            <w:pPr>
              <w:rPr>
                <w:rFonts w:ascii="標楷體" w:eastAsia="標楷體" w:hAnsi="標楷體"/>
              </w:rPr>
            </w:pPr>
          </w:p>
        </w:tc>
      </w:tr>
      <w:tr w:rsidR="00376C15" w:rsidRPr="00ED2DE2" w:rsidTr="00ED2DE2">
        <w:trPr>
          <w:jc w:val="center"/>
        </w:trPr>
        <w:tc>
          <w:tcPr>
            <w:tcW w:w="8748" w:type="dxa"/>
            <w:gridSpan w:val="7"/>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審查委員意見</w:t>
            </w:r>
          </w:p>
          <w:p w:rsidR="00376C15" w:rsidRPr="00ED2DE2" w:rsidRDefault="00376C15"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總分</w:t>
            </w:r>
          </w:p>
        </w:tc>
      </w:tr>
      <w:tr w:rsidR="00376C15" w:rsidRPr="00ED2DE2" w:rsidTr="00ED2DE2">
        <w:trPr>
          <w:trHeight w:val="1140"/>
          <w:jc w:val="center"/>
        </w:trPr>
        <w:tc>
          <w:tcPr>
            <w:tcW w:w="8748" w:type="dxa"/>
            <w:gridSpan w:val="7"/>
            <w:vMerge w:val="restart"/>
          </w:tcPr>
          <w:p w:rsidR="00376C15" w:rsidRDefault="00376C15" w:rsidP="00376C15">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533DEE">
              <w:rPr>
                <w:rFonts w:ascii="標楷體" w:eastAsia="標楷體" w:hAnsi="標楷體" w:hint="eastAsia"/>
                <w:sz w:val="26"/>
                <w:szCs w:val="26"/>
              </w:rPr>
              <w:t>實施計畫之基本資料要會辦各處室主任</w:t>
            </w:r>
            <w:r>
              <w:rPr>
                <w:rFonts w:ascii="標楷體" w:eastAsia="標楷體" w:hAnsi="標楷體"/>
                <w:sz w:val="26"/>
                <w:szCs w:val="26"/>
              </w:rPr>
              <w:t>(</w:t>
            </w:r>
            <w:r>
              <w:rPr>
                <w:rFonts w:ascii="標楷體" w:eastAsia="標楷體" w:hAnsi="標楷體" w:hint="eastAsia"/>
                <w:sz w:val="26"/>
                <w:szCs w:val="26"/>
              </w:rPr>
              <w:t>總務處、會計室</w:t>
            </w:r>
            <w:r>
              <w:rPr>
                <w:rFonts w:ascii="標楷體" w:eastAsia="標楷體" w:hAnsi="標楷體"/>
                <w:sz w:val="26"/>
                <w:szCs w:val="26"/>
              </w:rPr>
              <w:t>)</w:t>
            </w:r>
            <w:r w:rsidRPr="006A5EF1">
              <w:rPr>
                <w:rFonts w:ascii="標楷體" w:eastAsia="標楷體" w:hAnsi="標楷體" w:hint="eastAsia"/>
                <w:sz w:val="26"/>
                <w:szCs w:val="26"/>
              </w:rPr>
              <w:t>。</w:t>
            </w:r>
          </w:p>
          <w:p w:rsidR="00376C15" w:rsidRPr="006A5EF1" w:rsidRDefault="00376C15" w:rsidP="00376C15">
            <w:pPr>
              <w:ind w:left="31680" w:hangingChars="92"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拾、經費：一、經費來源：</w:t>
            </w:r>
            <w:r w:rsidRPr="006A5EF1">
              <w:rPr>
                <w:rFonts w:ascii="標楷體" w:eastAsia="標楷體" w:hAnsi="標楷體" w:hint="eastAsia"/>
                <w:sz w:val="26"/>
                <w:szCs w:val="26"/>
              </w:rPr>
              <w:t>……請修正為「函報教育『處』轉『教育部國民及學前教育署』。</w:t>
            </w:r>
          </w:p>
          <w:p w:rsidR="00376C15" w:rsidRPr="00A610BD" w:rsidRDefault="00376C15" w:rsidP="00A15ACB">
            <w:pPr>
              <w:rPr>
                <w:rFonts w:ascii="標楷體" w:eastAsia="標楷體" w:hAnsi="標楷體"/>
              </w:rPr>
            </w:pPr>
          </w:p>
        </w:tc>
        <w:tc>
          <w:tcPr>
            <w:tcW w:w="1260" w:type="dxa"/>
            <w:tcBorders>
              <w:bottom w:val="single" w:sz="4" w:space="0" w:color="auto"/>
            </w:tcBorders>
          </w:tcPr>
          <w:p w:rsidR="00376C15" w:rsidRPr="00ED2DE2" w:rsidRDefault="00376C15" w:rsidP="00A15ACB">
            <w:pPr>
              <w:rPr>
                <w:rFonts w:ascii="標楷體" w:eastAsia="標楷體" w:hAnsi="標楷體"/>
              </w:rPr>
            </w:pPr>
            <w:r>
              <w:rPr>
                <w:rFonts w:ascii="標楷體" w:eastAsia="標楷體" w:hAnsi="標楷體"/>
              </w:rPr>
              <w:t>93</w:t>
            </w:r>
          </w:p>
        </w:tc>
      </w:tr>
      <w:tr w:rsidR="00376C15" w:rsidRPr="00ED2DE2" w:rsidTr="00ED2DE2">
        <w:trPr>
          <w:trHeight w:val="1122"/>
          <w:jc w:val="center"/>
        </w:trPr>
        <w:tc>
          <w:tcPr>
            <w:tcW w:w="8748" w:type="dxa"/>
            <w:gridSpan w:val="7"/>
            <w:vMerge/>
            <w:tcBorders>
              <w:bottom w:val="single" w:sz="12" w:space="0" w:color="auto"/>
            </w:tcBorders>
          </w:tcPr>
          <w:p w:rsidR="00376C15" w:rsidRPr="00ED2DE2" w:rsidRDefault="00376C15" w:rsidP="00A15ACB">
            <w:pPr>
              <w:rPr>
                <w:rFonts w:ascii="標楷體" w:eastAsia="標楷體" w:hAnsi="標楷體"/>
              </w:rPr>
            </w:pPr>
          </w:p>
        </w:tc>
        <w:tc>
          <w:tcPr>
            <w:tcW w:w="1260" w:type="dxa"/>
            <w:tcBorders>
              <w:top w:val="single" w:sz="4" w:space="0" w:color="auto"/>
              <w:bottom w:val="single" w:sz="12" w:space="0" w:color="auto"/>
            </w:tcBorders>
          </w:tcPr>
          <w:p w:rsidR="00376C15" w:rsidRPr="00ED2DE2" w:rsidRDefault="00376C15"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376C15" w:rsidRPr="00ED2DE2" w:rsidRDefault="00376C15"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376C15" w:rsidRPr="00ED2DE2" w:rsidTr="00ED2DE2">
        <w:trPr>
          <w:jc w:val="center"/>
        </w:trPr>
        <w:tc>
          <w:tcPr>
            <w:tcW w:w="10008" w:type="dxa"/>
            <w:tcBorders>
              <w:top w:val="single" w:sz="12" w:space="0" w:color="auto"/>
            </w:tcBorders>
            <w:shd w:val="clear" w:color="auto" w:fill="E6E6E6"/>
            <w:vAlign w:val="center"/>
          </w:tcPr>
          <w:p w:rsidR="00376C15" w:rsidRPr="00ED2DE2" w:rsidRDefault="00376C15" w:rsidP="00A15ACB">
            <w:pPr>
              <w:jc w:val="center"/>
              <w:rPr>
                <w:rFonts w:ascii="標楷體" w:eastAsia="標楷體" w:hAnsi="標楷體"/>
                <w:b/>
              </w:rPr>
            </w:pPr>
            <w:r w:rsidRPr="00ED2DE2">
              <w:rPr>
                <w:rFonts w:ascii="標楷體" w:eastAsia="標楷體" w:hAnsi="標楷體" w:hint="eastAsia"/>
                <w:b/>
              </w:rPr>
              <w:t>審查結果</w:t>
            </w:r>
          </w:p>
        </w:tc>
      </w:tr>
      <w:tr w:rsidR="00376C15" w:rsidRPr="00ED2DE2" w:rsidTr="00ED2DE2">
        <w:trPr>
          <w:trHeight w:val="923"/>
          <w:jc w:val="center"/>
        </w:trPr>
        <w:tc>
          <w:tcPr>
            <w:tcW w:w="10008" w:type="dxa"/>
            <w:tcBorders>
              <w:bottom w:val="single" w:sz="12" w:space="0" w:color="auto"/>
            </w:tcBorders>
          </w:tcPr>
          <w:p w:rsidR="00376C15" w:rsidRPr="00ED2DE2" w:rsidRDefault="00376C15"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376C15" w:rsidRPr="00ED2DE2" w:rsidRDefault="00376C15"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376C15" w:rsidRPr="00ED2DE2" w:rsidRDefault="00376C15"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376C15" w:rsidRPr="00ED2DE2" w:rsidRDefault="00376C15"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376C15" w:rsidRPr="00ED2DE2" w:rsidRDefault="00376C15" w:rsidP="00ED2DE2">
      <w:pPr>
        <w:spacing w:line="400" w:lineRule="exact"/>
        <w:rPr>
          <w:rFonts w:ascii="標楷體" w:eastAsia="標楷體" w:hAnsi="標楷體"/>
          <w:b/>
        </w:rPr>
      </w:pPr>
      <w:r w:rsidRPr="00ED2DE2">
        <w:rPr>
          <w:rFonts w:ascii="標楷體" w:eastAsia="標楷體" w:hAnsi="標楷體" w:hint="eastAsia"/>
          <w:b/>
        </w:rPr>
        <w:t>一、計畫完整性</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376C15" w:rsidRPr="00ED2DE2" w:rsidRDefault="00376C15" w:rsidP="00ED2DE2">
      <w:pPr>
        <w:spacing w:line="400" w:lineRule="exact"/>
        <w:rPr>
          <w:rFonts w:ascii="標楷體" w:eastAsia="標楷體" w:hAnsi="標楷體"/>
          <w:b/>
        </w:rPr>
      </w:pPr>
      <w:r w:rsidRPr="00ED2DE2">
        <w:rPr>
          <w:rFonts w:ascii="標楷體" w:eastAsia="標楷體" w:hAnsi="標楷體" w:hint="eastAsia"/>
          <w:b/>
        </w:rPr>
        <w:t>二、經費合理性</w:t>
      </w:r>
    </w:p>
    <w:p w:rsidR="00376C15" w:rsidRPr="00ED2DE2" w:rsidRDefault="00376C15" w:rsidP="00A610B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376C15" w:rsidRPr="00ED2DE2" w:rsidRDefault="00376C15"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376C15" w:rsidRPr="00ED2DE2" w:rsidRDefault="00376C15" w:rsidP="00ED2DE2">
      <w:pPr>
        <w:spacing w:line="400" w:lineRule="exact"/>
        <w:rPr>
          <w:rFonts w:ascii="標楷體" w:eastAsia="標楷體" w:hAnsi="標楷體"/>
          <w:b/>
        </w:rPr>
      </w:pPr>
      <w:r w:rsidRPr="00ED2DE2">
        <w:rPr>
          <w:rFonts w:ascii="標楷體" w:eastAsia="標楷體" w:hAnsi="標楷體" w:hint="eastAsia"/>
          <w:b/>
        </w:rPr>
        <w:t>三、計畫效益性</w:t>
      </w:r>
    </w:p>
    <w:p w:rsidR="00376C15" w:rsidRPr="00ED2DE2" w:rsidRDefault="00376C15" w:rsidP="00A610BD">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376C15" w:rsidRPr="00ED2DE2" w:rsidRDefault="00376C15" w:rsidP="00ED2DE2">
      <w:pPr>
        <w:spacing w:line="400" w:lineRule="exact"/>
        <w:rPr>
          <w:rFonts w:ascii="標楷體" w:eastAsia="標楷體" w:hAnsi="標楷體"/>
          <w:b/>
        </w:rPr>
      </w:pPr>
      <w:r w:rsidRPr="00ED2DE2">
        <w:rPr>
          <w:rFonts w:ascii="標楷體" w:eastAsia="標楷體" w:hAnsi="標楷體" w:hint="eastAsia"/>
          <w:b/>
        </w:rPr>
        <w:t>四、創意特色</w:t>
      </w:r>
    </w:p>
    <w:p w:rsidR="00376C15" w:rsidRPr="00ED2DE2" w:rsidRDefault="00376C15" w:rsidP="00A610BD">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376C15" w:rsidRPr="00ED2DE2" w:rsidRDefault="00376C15"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376C15" w:rsidRPr="00ED2DE2" w:rsidRDefault="00376C15"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376C15" w:rsidRPr="00ED2DE2" w:rsidRDefault="00376C15"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376C15" w:rsidRPr="00ED2DE2" w:rsidRDefault="00376C15"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376C15" w:rsidRPr="00ED2DE2" w:rsidRDefault="00376C15"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376C15"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15" w:rsidRDefault="00376C15" w:rsidP="00E453DB">
      <w:r>
        <w:separator/>
      </w:r>
    </w:p>
  </w:endnote>
  <w:endnote w:type="continuationSeparator" w:id="0">
    <w:p w:rsidR="00376C15" w:rsidRDefault="00376C15"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15" w:rsidRDefault="00376C15" w:rsidP="00E453DB">
      <w:r>
        <w:separator/>
      </w:r>
    </w:p>
  </w:footnote>
  <w:footnote w:type="continuationSeparator" w:id="0">
    <w:p w:rsidR="00376C15" w:rsidRDefault="00376C15"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2B7C18"/>
    <w:rsid w:val="00312CBD"/>
    <w:rsid w:val="00376C15"/>
    <w:rsid w:val="00377A19"/>
    <w:rsid w:val="004C13D7"/>
    <w:rsid w:val="00533DEE"/>
    <w:rsid w:val="005B2182"/>
    <w:rsid w:val="0063648D"/>
    <w:rsid w:val="00670C43"/>
    <w:rsid w:val="00684892"/>
    <w:rsid w:val="006A5EF1"/>
    <w:rsid w:val="006F46EA"/>
    <w:rsid w:val="00707ADF"/>
    <w:rsid w:val="00720F02"/>
    <w:rsid w:val="00720FC3"/>
    <w:rsid w:val="007A48E8"/>
    <w:rsid w:val="007A6D1E"/>
    <w:rsid w:val="008B4D5D"/>
    <w:rsid w:val="009409BA"/>
    <w:rsid w:val="009518F8"/>
    <w:rsid w:val="009704A2"/>
    <w:rsid w:val="00A15ACB"/>
    <w:rsid w:val="00A610BD"/>
    <w:rsid w:val="00AE4BC3"/>
    <w:rsid w:val="00B0038A"/>
    <w:rsid w:val="00B94445"/>
    <w:rsid w:val="00C325F8"/>
    <w:rsid w:val="00C7145B"/>
    <w:rsid w:val="00D71390"/>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248</Words>
  <Characters>1417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2016-08-02T08:33:00Z</cp:lastPrinted>
  <dcterms:created xsi:type="dcterms:W3CDTF">2016-08-02T08:33:00Z</dcterms:created>
  <dcterms:modified xsi:type="dcterms:W3CDTF">2016-08-19T02:53:00Z</dcterms:modified>
</cp:coreProperties>
</file>