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中小學教師教學專業與課程品質整體推動計畫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國民教育輔導團整體團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(總團)實施計畫</w:t>
      </w:r>
    </w:p>
    <w:p w:rsidR="000115A0" w:rsidRPr="00D33094" w:rsidRDefault="000115A0" w:rsidP="000115A0">
      <w:pPr>
        <w:ind w:hanging="1276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  <w:lang w:eastAsia="zh-TW"/>
        </w:rPr>
      </w:pP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 xml:space="preserve">           </w:t>
      </w:r>
      <w:r w:rsidR="00020B6C" w:rsidRPr="00020B6C">
        <w:rPr>
          <w:rFonts w:eastAsia="標楷體"/>
          <w:noProof/>
          <w:color w:val="000000" w:themeColor="text1"/>
          <w:sz w:val="24"/>
          <w:szCs w:val="24"/>
          <w:lang w:eastAsia="zh-TW"/>
        </w:rPr>
      </w:r>
      <w:r w:rsidR="00020B6C">
        <w:rPr>
          <w:rFonts w:eastAsia="標楷體"/>
          <w:noProof/>
          <w:color w:val="000000" w:themeColor="text1"/>
          <w:sz w:val="24"/>
          <w:szCs w:val="24"/>
          <w:lang w:eastAsia="zh-TW"/>
        </w:rPr>
        <w:pict>
          <v:rect id="矩形 24" o:spid="_x0000_s1026" style="width:49.1pt;height:32pt;visibility:visible;mso-position-horizontal-relative:char;mso-position-vertical-relative:line;v-text-anchor:middle" fillcolor="#cfe2f3">
            <v:stroke joinstyle="round"/>
            <v:textbox inset="2.53958mm,2.53958mm,2.53958mm,2.53958mm">
              <w:txbxContent>
                <w:p w:rsidR="000115A0" w:rsidRPr="00096EB0" w:rsidRDefault="000115A0" w:rsidP="000115A0">
                  <w:pPr>
                    <w:textDirection w:val="btLr"/>
                    <w:rPr>
                      <w:lang w:eastAsia="zh-TW"/>
                    </w:rPr>
                  </w:pPr>
                  <w:r w:rsidRPr="00096EB0">
                    <w:rPr>
                      <w:rFonts w:ascii="Arial" w:hAnsi="Arial" w:cs="Arial" w:hint="eastAsia"/>
                      <w:sz w:val="28"/>
                    </w:rPr>
                    <w:t>2</w:t>
                  </w:r>
                  <w:r>
                    <w:rPr>
                      <w:rFonts w:ascii="Arial" w:eastAsia="Arial" w:hAnsi="Arial" w:cs="Arial"/>
                      <w:sz w:val="28"/>
                    </w:rPr>
                    <w:t>-</w:t>
                  </w:r>
                  <w:r>
                    <w:rPr>
                      <w:rFonts w:ascii="Arial" w:hAnsi="Arial" w:cs="Arial" w:hint="eastAsia"/>
                      <w:sz w:val="28"/>
                    </w:rPr>
                    <w:t>0</w:t>
                  </w:r>
                  <w:r>
                    <w:rPr>
                      <w:rFonts w:ascii="Arial" w:hAnsi="Arial" w:cs="Arial" w:hint="eastAsia"/>
                      <w:sz w:val="28"/>
                      <w:lang w:eastAsia="zh-TW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  <w:r w:rsidRPr="00D3309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D33094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8"/>
          <w:szCs w:val="28"/>
          <w:lang w:eastAsia="zh-TW"/>
        </w:rPr>
        <w:t>十二年國教區域策略聯盟各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研習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一、依據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務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二、現況分析與需求評估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花蓮縣地形狹長，小班小校林立，孤軍奮戰著實辛苦，而各領域輔導員南北奔波，勞而無功，故以區域策略聯盟的方式進行各領域素養導向教學與評量研討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108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課綱實行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在即，各校教師皆須精進各領域</w:t>
      </w:r>
      <w:r w:rsidRPr="00D33094">
        <w:rPr>
          <w:rStyle w:val="a7"/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、目的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透過輔導團辦理增能研習，實踐各領域素養導向教學及評量，提升素養導向教學效能。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引導教師設計素養導向的教學活動及評量，增加學生活用於生活情境的素養。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彙整優良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領域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素養導向教學及評量案例，整合集體智慧，資源交流共享。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四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、辦理單位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十二年國教區域策略聯盟北區中心學校（9所）分鄉鎮辦理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五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107學年由中心學校與夥伴學校依規劃之領域，協調日期後辦理。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 xml:space="preserve">    (國小計50場，國中計13場)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 xml:space="preserve"> 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六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、辦理地點：花蓮縣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十二年國教區域策略聯盟各區中心學校（22所）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7C3503" w:rsidRDefault="000115A0" w:rsidP="007C3503">
      <w:pPr>
        <w:spacing w:line="300" w:lineRule="exact"/>
        <w:ind w:left="2410" w:hangingChars="1004" w:hanging="2410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七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、參加對象與人數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參加對象與人數</w:t>
      </w:r>
      <w:r w:rsidR="007C3503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國中小教師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，每場次預計50</w:t>
      </w:r>
      <w:r w:rsidR="007C3503"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人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7C3503" w:rsidP="007C3503">
      <w:pPr>
        <w:spacing w:line="300" w:lineRule="exact"/>
        <w:ind w:leftChars="257" w:left="565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請依據「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107學年度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策略聯盟中心學校規劃表」參與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所屬區域中心學校辦理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領綱研習</w:t>
      </w:r>
      <w:proofErr w:type="gramEnd"/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場次。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各國小教師應至少擇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一場領綱研習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參加，各國中教師應依據授課科目參加。108學年度擔任一、七年級授課教師得優先跨區參與授課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spacing w:line="300" w:lineRule="exact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、研習內容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0115A0" w:rsidRPr="00D33094" w:rsidTr="00B14F83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0115A0" w:rsidRPr="00D33094" w:rsidTr="00B14F83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B14F83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Gungsuh"/>
                <w:color w:val="000000" w:themeColor="text1"/>
              </w:rPr>
            </w:pPr>
          </w:p>
        </w:tc>
      </w:tr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E77DB6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16: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0115A0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九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、經費來源與概算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5F446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單一場次經費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09"/>
        <w:gridCol w:w="1559"/>
        <w:gridCol w:w="1560"/>
        <w:gridCol w:w="1417"/>
        <w:gridCol w:w="1559"/>
        <w:gridCol w:w="1418"/>
        <w:gridCol w:w="1417"/>
      </w:tblGrid>
      <w:tr w:rsidR="000115A0" w:rsidRPr="00D33094" w:rsidTr="005F446D">
        <w:trPr>
          <w:trHeight w:val="149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項次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項目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單位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數量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單價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小計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ind w:firstLineChars="212" w:firstLine="466"/>
              <w:jc w:val="both"/>
              <w:rPr>
                <w:rFonts w:ascii="標楷體" w:eastAsia="標楷體" w:hAnsi="標楷體" w:cs="Arial"/>
                <w:color w:val="000000" w:themeColor="text1"/>
                <w:lang w:eastAsia="zh-TW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備註</w:t>
            </w:r>
            <w:proofErr w:type="spellEnd"/>
          </w:p>
        </w:tc>
      </w:tr>
      <w:tr w:rsidR="000115A0" w:rsidRPr="00D33094" w:rsidTr="005F446D">
        <w:trPr>
          <w:trHeight w:val="18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講座鐘點費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時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*</w:t>
            </w:r>
            <w:r w:rsidRPr="00D33094">
              <w:rPr>
                <w:rFonts w:ascii="標楷體" w:eastAsia="標楷體" w:hAnsi="標楷體" w:cs="Arial Unicode MS" w:hint="eastAsia"/>
                <w:color w:val="000000" w:themeColor="text1"/>
              </w:rPr>
              <w:t>人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F446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*1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 xml:space="preserve">  1,000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  <w:r w:rsidR="000115A0" w:rsidRPr="00D33094">
              <w:rPr>
                <w:rFonts w:ascii="標楷體" w:eastAsia="標楷體" w:hAnsi="標楷體" w:hint="eastAsia"/>
                <w:color w:val="000000" w:themeColor="text1"/>
              </w:rPr>
              <w:t>,0</w:t>
            </w:r>
            <w:r w:rsidR="000115A0"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" w:hint="eastAsia"/>
                <w:color w:val="000000" w:themeColor="text1"/>
              </w:rPr>
              <w:t>內聘</w:t>
            </w:r>
            <w:proofErr w:type="spellEnd"/>
          </w:p>
        </w:tc>
      </w:tr>
      <w:tr w:rsidR="000115A0" w:rsidRPr="00D33094" w:rsidTr="005F446D">
        <w:trPr>
          <w:trHeight w:val="107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印刷費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份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="000115A0" w:rsidRPr="00D33094">
              <w:rPr>
                <w:rFonts w:ascii="標楷體" w:eastAsia="標楷體" w:hAnsi="標楷體" w:hint="eastAsia"/>
                <w:color w:val="000000" w:themeColor="text1"/>
              </w:rPr>
              <w:t>,5</w:t>
            </w:r>
            <w:r w:rsidR="000115A0"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115A0" w:rsidRPr="00D33094" w:rsidTr="005F446D">
        <w:trPr>
          <w:trHeight w:val="32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雜</w:t>
            </w: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ab/>
              <w:t>支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 xml:space="preserve">  500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D33094"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115A0" w:rsidRPr="00D33094" w:rsidTr="00B14F83">
        <w:trPr>
          <w:trHeight w:val="335"/>
        </w:trPr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合</w:t>
            </w: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ab/>
              <w:t>計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6</w:t>
            </w:r>
            <w:r w:rsidR="000115A0" w:rsidRPr="00D33094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,</w:t>
            </w:r>
            <w:r w:rsidR="000115A0" w:rsidRPr="00D33094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000</w:t>
            </w:r>
            <w:r w:rsidR="000115A0" w:rsidRPr="00D33094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 xml:space="preserve"> </w:t>
            </w:r>
            <w:r w:rsidR="000115A0" w:rsidRPr="00D33094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元（上述經費得依實際情況勻支）</w:t>
            </w:r>
          </w:p>
        </w:tc>
      </w:tr>
    </w:tbl>
    <w:p w:rsidR="000115A0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十</w:t>
      </w:r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proofErr w:type="spellStart"/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成效評估之實施</w:t>
      </w:r>
      <w:proofErr w:type="spellEnd"/>
    </w:p>
    <w:tbl>
      <w:tblPr>
        <w:tblW w:w="4951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559"/>
        <w:gridCol w:w="4591"/>
        <w:gridCol w:w="1460"/>
        <w:gridCol w:w="2271"/>
      </w:tblGrid>
      <w:tr w:rsidR="000115A0" w:rsidRPr="00D33094" w:rsidTr="00B14F83">
        <w:trPr>
          <w:trHeight w:val="774"/>
          <w:tblHeader/>
        </w:trPr>
        <w:tc>
          <w:tcPr>
            <w:tcW w:w="789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層面</w:t>
            </w:r>
          </w:p>
        </w:tc>
        <w:tc>
          <w:tcPr>
            <w:tcW w:w="232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widowControl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預期成效</w:t>
            </w:r>
          </w:p>
        </w:tc>
        <w:tc>
          <w:tcPr>
            <w:tcW w:w="73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評估方式</w:t>
            </w:r>
          </w:p>
        </w:tc>
        <w:tc>
          <w:tcPr>
            <w:tcW w:w="114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評估工具</w:t>
            </w:r>
          </w:p>
        </w:tc>
      </w:tr>
      <w:tr w:rsidR="000115A0" w:rsidRPr="00D33094" w:rsidTr="00B14F83">
        <w:trPr>
          <w:trHeight w:val="1275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1.參與者的</w:t>
            </w:r>
          </w:p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反應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畫對於輔導員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成員的素養導向教學與評量能力有幫助。</w:t>
            </w:r>
          </w:p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二、研習後，輔導員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成員對於各領域素養導向教學與評量有更深入的理解。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B14F83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滿意度調查表</w:t>
            </w:r>
          </w:p>
          <w:p w:rsidR="00B14F83" w:rsidRDefault="00B14F83" w:rsidP="00B14F83">
            <w:pPr>
              <w:jc w:val="center"/>
              <w:rPr>
                <w:lang w:eastAsia="zh-TW"/>
              </w:rPr>
            </w:pPr>
          </w:p>
          <w:p w:rsidR="000115A0" w:rsidRPr="00B14F83" w:rsidRDefault="000115A0" w:rsidP="00B14F83">
            <w:pPr>
              <w:jc w:val="center"/>
              <w:rPr>
                <w:lang w:eastAsia="zh-TW"/>
              </w:rPr>
            </w:pPr>
          </w:p>
        </w:tc>
      </w:tr>
      <w:tr w:rsidR="000115A0" w:rsidRPr="00D33094" w:rsidTr="00B14F83">
        <w:trPr>
          <w:trHeight w:val="639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2.參與者的學習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畫有助於提升輔導員專業知能，增進輔導員到校服務效能。</w:t>
            </w:r>
          </w:p>
          <w:p w:rsidR="000115A0" w:rsidRPr="00D33094" w:rsidRDefault="000115A0" w:rsidP="00E77DB6">
            <w:pPr>
              <w:spacing w:line="260" w:lineRule="atLeast"/>
              <w:ind w:leftChars="3" w:left="390" w:hangingChars="174" w:hanging="3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二、教學輔導機制，協助教師發現教學問題，改進教學方法。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0115A0" w:rsidRPr="00D33094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意見回饋單</w:t>
            </w:r>
          </w:p>
        </w:tc>
      </w:tr>
    </w:tbl>
    <w:p w:rsidR="000115A0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十一、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預期成效</w:t>
      </w: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鼓勵</w:t>
      </w:r>
      <w:proofErr w:type="gramStart"/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各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領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綱內容</w:t>
      </w:r>
      <w:proofErr w:type="gramEnd"/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探究及自主學習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強化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輔導團員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知能整合與生活運用能力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（二）帶動教學活化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，提升教師專業增能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的意願與能力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  <w:br w:type="page"/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【附件一】教師參與研習</w:t>
      </w:r>
      <w:r w:rsidRPr="00D33094">
        <w:rPr>
          <w:rFonts w:ascii="標楷體" w:eastAsia="標楷體" w:hAnsi="標楷體" w:hint="eastAsia"/>
          <w:color w:val="000000" w:themeColor="text1"/>
          <w:sz w:val="24"/>
          <w:lang w:eastAsia="zh-TW"/>
        </w:rPr>
        <w:t>滿意度調查表</w:t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bCs/>
          <w:color w:val="000000" w:themeColor="text1"/>
          <w:kern w:val="2"/>
          <w:sz w:val="16"/>
          <w:szCs w:val="16"/>
          <w:lang w:eastAsia="zh-TW"/>
        </w:rPr>
      </w:pPr>
    </w:p>
    <w:p w:rsidR="000115A0" w:rsidRPr="00D33094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中小學教師教學專業與課程品質整體推動計畫</w:t>
      </w:r>
    </w:p>
    <w:p w:rsidR="000115A0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  <w:r w:rsidRPr="003C4B2D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  <w:lang w:eastAsia="zh-TW"/>
        </w:rPr>
        <w:t>研習活動回饋表</w:t>
      </w:r>
    </w:p>
    <w:p w:rsidR="003C4B2D" w:rsidRPr="003C4B2D" w:rsidRDefault="003C4B2D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</w:p>
    <w:p w:rsidR="003C4B2D" w:rsidRPr="00D33094" w:rsidRDefault="003C4B2D" w:rsidP="003C4B2D">
      <w:pPr>
        <w:adjustRightInd w:val="0"/>
        <w:snapToGrid w:val="0"/>
        <w:spacing w:after="0" w:line="240" w:lineRule="atLeast"/>
        <w:ind w:leftChars="129" w:left="284"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這份問卷目的在了解您參與「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bCs/>
          <w:color w:val="000000" w:themeColor="text1"/>
          <w:kern w:val="2"/>
          <w:sz w:val="24"/>
          <w:szCs w:val="24"/>
          <w:lang w:eastAsia="zh-TW"/>
        </w:rPr>
        <w:t>研習</w:t>
      </w: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」的心得。您的寶貴意見將提供我們規劃精進研習的重要參考，誠摯的感謝您！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課程名稱：</w:t>
      </w:r>
      <w:r w:rsidRPr="003C4B2D">
        <w:rPr>
          <w:rFonts w:eastAsia="標楷體" w:hint="eastAsia"/>
          <w:b/>
          <w:color w:val="000000" w:themeColor="text1"/>
          <w:sz w:val="24"/>
          <w:szCs w:val="24"/>
          <w:lang w:eastAsia="zh-TW"/>
        </w:rPr>
        <w:t>花蓮縣</w:t>
      </w:r>
      <w:r w:rsidRPr="003C4B2D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十二年國教區域策略聯盟各</w:t>
      </w:r>
      <w:r w:rsidRPr="003C4B2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3C4B2D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3C4B2D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3C4B2D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3C4B2D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研習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承辦學校：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研習日期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/場次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：</w:t>
      </w:r>
      <w:r w:rsidRPr="003C4B2D"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年   月   日   ○○</w:t>
      </w:r>
      <w:proofErr w:type="gramStart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領域領綱研習</w:t>
      </w:r>
      <w:proofErr w:type="gramEnd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○○場次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參加人員：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7C3503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為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本科授課教師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非本科授課教師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proofErr w:type="spellStart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滿意度調查</w:t>
      </w:r>
      <w:proofErr w:type="spellEnd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：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45"/>
        <w:gridCol w:w="1446"/>
        <w:gridCol w:w="1446"/>
        <w:gridCol w:w="1446"/>
        <w:gridCol w:w="1446"/>
      </w:tblGrid>
      <w:tr w:rsidR="000115A0" w:rsidRPr="00D33094" w:rsidTr="003C4B2D">
        <w:trPr>
          <w:trHeight w:val="414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項目</w:t>
            </w:r>
            <w:proofErr w:type="spellEnd"/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卷內容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非常滿意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還好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尚需加強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備註</w:t>
            </w:r>
            <w:proofErr w:type="spellEnd"/>
          </w:p>
        </w:tc>
      </w:tr>
      <w:tr w:rsidR="000115A0" w:rsidRPr="00D33094" w:rsidTr="003C4B2D">
        <w:trPr>
          <w:trHeight w:val="394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25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732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6. 研習心得(感受最深的部分 / 最感興趣的部分 / 覺得最實用，想嘗試的部分)：</w:t>
            </w: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tbl>
      <w:tblPr>
        <w:tblStyle w:val="1"/>
        <w:tblW w:w="9109" w:type="dxa"/>
        <w:tblInd w:w="817" w:type="dxa"/>
        <w:tblLook w:val="04A0"/>
      </w:tblPr>
      <w:tblGrid>
        <w:gridCol w:w="4961"/>
        <w:gridCol w:w="1037"/>
        <w:gridCol w:w="1037"/>
        <w:gridCol w:w="1037"/>
        <w:gridCol w:w="1037"/>
      </w:tblGrid>
      <w:tr w:rsidR="000115A0" w:rsidRPr="00D33094" w:rsidTr="003C4B2D">
        <w:trPr>
          <w:trHeight w:val="414"/>
        </w:trPr>
        <w:tc>
          <w:tcPr>
            <w:tcW w:w="4961" w:type="dxa"/>
            <w:tcBorders>
              <w:tl2br w:val="single" w:sz="4" w:space="0" w:color="auto"/>
            </w:tcBorders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</w:t>
            </w: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項目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問卷內容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ind w:leftChars="-36" w:left="-79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  <w:tc>
          <w:tcPr>
            <w:tcW w:w="1037" w:type="dxa"/>
            <w:vAlign w:val="center"/>
          </w:tcPr>
          <w:p w:rsid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</w:t>
            </w:r>
          </w:p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</w:tr>
      <w:tr w:rsidR="000115A0" w:rsidRPr="00D33094" w:rsidTr="003C4B2D">
        <w:trPr>
          <w:trHeight w:val="576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1.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參加這個研習對我的教學有幫助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3C4B2D">
            <w:pPr>
              <w:adjustRightInd w:val="0"/>
              <w:snapToGrid w:val="0"/>
              <w:spacing w:after="0" w:line="240" w:lineRule="atLeast"/>
              <w:ind w:left="317" w:hangingChars="132" w:hanging="317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</w:t>
            </w:r>
            <w:r w:rsidR="00C600D6"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○○</w:t>
            </w:r>
            <w:proofErr w:type="gramStart"/>
            <w:r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領域領綱</w:t>
            </w:r>
            <w:r w:rsid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規範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</w:t>
            </w:r>
            <w:proofErr w:type="gram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清楚的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理解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B14F83" w:rsidRDefault="00B14F83" w:rsidP="00B14F83">
            <w:pPr>
              <w:widowControl w:val="0"/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.</w:t>
            </w:r>
            <w:r w:rsidR="000115A0" w:rsidRP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參加研習後，我對於「素養導向教學與評量」</w:t>
            </w:r>
          </w:p>
          <w:p w:rsidR="000115A0" w:rsidRPr="00D33094" w:rsidRDefault="000115A0" w:rsidP="00B14F83">
            <w:pPr>
              <w:pStyle w:val="a5"/>
              <w:adjustRightInd w:val="0"/>
              <w:snapToGrid w:val="0"/>
              <w:spacing w:after="0" w:line="240" w:lineRule="atLeast"/>
              <w:ind w:left="36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有更深入的認識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4. 此次研習的實作課程讓我能將理論轉化為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  校訂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課程設計的能力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5. 研習後，我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會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將研習所學運用於實際教學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15A0" w:rsidRPr="00D33094" w:rsidRDefault="000115A0" w:rsidP="000115A0">
      <w:pPr>
        <w:widowControl w:val="0"/>
        <w:spacing w:after="0" w:line="400" w:lineRule="exact"/>
        <w:rPr>
          <w:rFonts w:ascii="Times New Roman" w:eastAsia="標楷體" w:hAnsi="Times New Roman"/>
          <w:bCs/>
          <w:color w:val="000000" w:themeColor="text1"/>
          <w:kern w:val="2"/>
          <w:sz w:val="28"/>
          <w:szCs w:val="28"/>
          <w:lang w:eastAsia="zh-TW"/>
        </w:rPr>
      </w:pPr>
    </w:p>
    <w:p w:rsidR="000115A0" w:rsidRPr="00D33094" w:rsidRDefault="000115A0" w:rsidP="000115A0">
      <w:pPr>
        <w:widowControl w:val="0"/>
        <w:spacing w:after="0" w:line="240" w:lineRule="auto"/>
        <w:rPr>
          <w:rFonts w:ascii="Times New Roman" w:eastAsiaTheme="minorEastAsia" w:hAnsi="Times New Roman"/>
          <w:color w:val="000000" w:themeColor="text1"/>
          <w:kern w:val="2"/>
          <w:sz w:val="24"/>
          <w:szCs w:val="24"/>
          <w:lang w:eastAsia="zh-TW"/>
        </w:rPr>
      </w:pPr>
      <w:r w:rsidRPr="00D33094">
        <w:rPr>
          <w:noProof/>
          <w:color w:val="000000" w:themeColor="text1"/>
          <w:lang w:eastAsia="zh-TW"/>
        </w:rPr>
        <w:lastRenderedPageBreak/>
        <w:drawing>
          <wp:inline distT="0" distB="0" distL="0" distR="0">
            <wp:extent cx="6120130" cy="703643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7C3503">
      <w:pPr>
        <w:widowControl w:val="0"/>
        <w:snapToGrid w:val="0"/>
        <w:spacing w:beforeLines="50" w:afterLines="50" w:line="240" w:lineRule="auto"/>
        <w:rPr>
          <w:rFonts w:ascii="Times New Roman" w:eastAsia="標楷體" w:hAnsi="Times New Roman"/>
          <w:b/>
          <w:bCs/>
          <w:color w:val="000000" w:themeColor="text1"/>
          <w:kern w:val="2"/>
          <w:sz w:val="28"/>
          <w:szCs w:val="28"/>
          <w:lang w:eastAsia="zh-TW"/>
        </w:rPr>
      </w:pPr>
      <w:r w:rsidRPr="00D33094">
        <w:rPr>
          <w:rFonts w:ascii="Times New Roman" w:eastAsia="標楷體" w:hAnsi="Times New Roman" w:hint="eastAsia"/>
          <w:b/>
          <w:bCs/>
          <w:color w:val="000000" w:themeColor="text1"/>
          <w:kern w:val="2"/>
          <w:sz w:val="28"/>
          <w:szCs w:val="28"/>
          <w:lang w:eastAsia="zh-TW"/>
        </w:rPr>
        <w:t xml:space="preserve"> </w:t>
      </w: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C3503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  <w:lang w:eastAsia="zh-TW"/>
        </w:rPr>
        <w:lastRenderedPageBreak/>
        <w:drawing>
          <wp:inline distT="0" distB="0" distL="0" distR="0">
            <wp:extent cx="6293967" cy="4353853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3" t="24559" r="3789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5" cy="43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7C3503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C350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AF7287" w:rsidRDefault="00AF7287"/>
    <w:sectPr w:rsidR="00AF7287" w:rsidSect="000115A0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26" w:rsidRDefault="00F42726" w:rsidP="00B14F83">
      <w:pPr>
        <w:spacing w:after="0" w:line="240" w:lineRule="auto"/>
      </w:pPr>
      <w:r>
        <w:separator/>
      </w:r>
    </w:p>
  </w:endnote>
  <w:endnote w:type="continuationSeparator" w:id="0">
    <w:p w:rsidR="00F42726" w:rsidRDefault="00F42726" w:rsidP="00B1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26" w:rsidRDefault="00F42726" w:rsidP="00B14F83">
      <w:pPr>
        <w:spacing w:after="0" w:line="240" w:lineRule="auto"/>
      </w:pPr>
      <w:r>
        <w:separator/>
      </w:r>
    </w:p>
  </w:footnote>
  <w:footnote w:type="continuationSeparator" w:id="0">
    <w:p w:rsidR="00F42726" w:rsidRDefault="00F42726" w:rsidP="00B1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A0"/>
    <w:rsid w:val="000115A0"/>
    <w:rsid w:val="00020B6C"/>
    <w:rsid w:val="000A45EA"/>
    <w:rsid w:val="002569E0"/>
    <w:rsid w:val="0031228D"/>
    <w:rsid w:val="003C4B2D"/>
    <w:rsid w:val="00471898"/>
    <w:rsid w:val="005905F1"/>
    <w:rsid w:val="005F446D"/>
    <w:rsid w:val="00614FFF"/>
    <w:rsid w:val="006975F8"/>
    <w:rsid w:val="006D4F84"/>
    <w:rsid w:val="007C3503"/>
    <w:rsid w:val="00A05A2F"/>
    <w:rsid w:val="00AF7287"/>
    <w:rsid w:val="00B14F83"/>
    <w:rsid w:val="00C600D6"/>
    <w:rsid w:val="00D7775E"/>
    <w:rsid w:val="00F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0"/>
    <w:pPr>
      <w:widowControl/>
      <w:spacing w:after="200" w:line="276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DFKai-SB" w:eastAsia="DFKai-SB" w:hAnsi="DFKai-SB" w:cs="DFKai-SB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A05A2F"/>
  </w:style>
  <w:style w:type="paragraph" w:customStyle="1" w:styleId="Heading1">
    <w:name w:val="Heading 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Heading4">
    <w:name w:val="Heading 4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Heading6">
    <w:name w:val="Heading 6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character" w:customStyle="1" w:styleId="a6">
    <w:name w:val="清單段落 字元"/>
    <w:link w:val="a5"/>
    <w:uiPriority w:val="34"/>
    <w:locked/>
    <w:rsid w:val="000115A0"/>
    <w:rPr>
      <w:rFonts w:ascii="DFKai-SB" w:eastAsia="DFKai-SB" w:hAnsi="DFKai-SB" w:cs="DFKai-SB"/>
    </w:rPr>
  </w:style>
  <w:style w:type="character" w:styleId="a7">
    <w:name w:val="Emphasis"/>
    <w:uiPriority w:val="20"/>
    <w:qFormat/>
    <w:rsid w:val="000115A0"/>
    <w:rPr>
      <w:i/>
      <w:iCs/>
    </w:rPr>
  </w:style>
  <w:style w:type="character" w:styleId="a8">
    <w:name w:val="Strong"/>
    <w:uiPriority w:val="22"/>
    <w:qFormat/>
    <w:rsid w:val="000115A0"/>
    <w:rPr>
      <w:b/>
      <w:bCs/>
    </w:rPr>
  </w:style>
  <w:style w:type="character" w:customStyle="1" w:styleId="tr">
    <w:name w:val="tr"/>
    <w:basedOn w:val="a0"/>
    <w:rsid w:val="000115A0"/>
  </w:style>
  <w:style w:type="paragraph" w:customStyle="1" w:styleId="a9">
    <w:name w:val="表文"/>
    <w:rsid w:val="000115A0"/>
    <w:pPr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-">
    <w:name w:val="表文-中"/>
    <w:rsid w:val="000115A0"/>
    <w:pPr>
      <w:widowControl/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aa">
    <w:name w:val="表頭"/>
    <w:rsid w:val="000115A0"/>
    <w:pPr>
      <w:widowControl/>
      <w:jc w:val="center"/>
    </w:pPr>
    <w:rPr>
      <w:rFonts w:ascii="Arial" w:eastAsia="華康中黑體" w:hAnsi="Arial" w:cs="標楷體"/>
      <w:color w:val="FFFFFF"/>
      <w:kern w:val="2"/>
      <w:sz w:val="20"/>
      <w:szCs w:val="24"/>
      <w:lang w:eastAsia="zh-TW"/>
    </w:rPr>
  </w:style>
  <w:style w:type="table" w:customStyle="1" w:styleId="1">
    <w:name w:val="表格格線1"/>
    <w:basedOn w:val="a1"/>
    <w:uiPriority w:val="39"/>
    <w:rsid w:val="000115A0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15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5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B14F83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B14F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2018-11-23T03:13:00Z</dcterms:created>
  <dcterms:modified xsi:type="dcterms:W3CDTF">2018-11-23T04:59:00Z</dcterms:modified>
</cp:coreProperties>
</file>