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2" w:rsidRDefault="00993789" w:rsidP="00993789">
      <w:pPr>
        <w:spacing w:line="0" w:lineRule="atLeast"/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 w:rsidRPr="00993789">
        <w:rPr>
          <w:rFonts w:ascii="標楷體" w:eastAsia="標楷體" w:hAnsi="標楷體" w:hint="eastAsia"/>
          <w:b/>
          <w:noProof/>
          <w:color w:val="0D0D0D"/>
          <w:sz w:val="40"/>
          <w:szCs w:val="40"/>
          <w:u w:val="single"/>
        </w:rPr>
        <w:t>110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年度花蓮縣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 xml:space="preserve">       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國民小學交通安全教育執行報告</w:t>
      </w:r>
      <w:r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自評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表</w:t>
      </w:r>
    </w:p>
    <w:p w:rsidR="00993789" w:rsidRPr="00993789" w:rsidRDefault="00993789" w:rsidP="00103D99">
      <w:pPr>
        <w:spacing w:line="0" w:lineRule="atLeast"/>
        <w:rPr>
          <w:rFonts w:ascii="標楷體" w:eastAsia="標楷體" w:hAnsi="標楷體"/>
          <w:b/>
          <w:color w:val="0D0D0D"/>
          <w:szCs w:val="24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874"/>
        <w:gridCol w:w="1847"/>
        <w:gridCol w:w="1474"/>
        <w:gridCol w:w="965"/>
        <w:gridCol w:w="1445"/>
        <w:gridCol w:w="3257"/>
      </w:tblGrid>
      <w:tr w:rsidR="007D6FE2" w:rsidRPr="00BB3991" w:rsidTr="00993789">
        <w:trPr>
          <w:trHeight w:val="827"/>
        </w:trPr>
        <w:tc>
          <w:tcPr>
            <w:tcW w:w="14342" w:type="dxa"/>
            <w:gridSpan w:val="7"/>
            <w:shd w:val="clear" w:color="auto" w:fill="FFFFFF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學校基本資料</w:t>
            </w: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4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學校名稱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學校地址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聯絡人</w:t>
            </w:r>
          </w:p>
        </w:tc>
        <w:tc>
          <w:tcPr>
            <w:tcW w:w="37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連絡電話</w:t>
            </w:r>
          </w:p>
        </w:tc>
        <w:tc>
          <w:tcPr>
            <w:tcW w:w="4702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電子信箱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學生人數</w:t>
            </w:r>
          </w:p>
        </w:tc>
        <w:tc>
          <w:tcPr>
            <w:tcW w:w="1874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日間部</w:t>
            </w:r>
          </w:p>
        </w:tc>
        <w:tc>
          <w:tcPr>
            <w:tcW w:w="33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夜間部</w:t>
            </w:r>
          </w:p>
        </w:tc>
        <w:tc>
          <w:tcPr>
            <w:tcW w:w="3257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</w:tbl>
    <w:p w:rsidR="007D6FE2" w:rsidRDefault="007D6FE2" w:rsidP="007D6FE2">
      <w:pPr>
        <w:spacing w:line="0" w:lineRule="atLeast"/>
        <w:jc w:val="center"/>
        <w:rPr>
          <w:color w:val="0D0D0D"/>
          <w:sz w:val="20"/>
        </w:rPr>
      </w:pP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等第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90~100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優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80~89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甲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70~79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乙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60~69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丙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59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丁</w:t>
            </w:r>
          </w:p>
        </w:tc>
      </w:tr>
    </w:tbl>
    <w:p w:rsidR="002225DC" w:rsidRPr="002225DC" w:rsidRDefault="002225DC" w:rsidP="00993789">
      <w:pPr>
        <w:spacing w:line="0" w:lineRule="atLeast"/>
        <w:jc w:val="both"/>
        <w:rPr>
          <w:rFonts w:ascii="標楷體" w:eastAsia="標楷體" w:hAnsi="標楷體"/>
          <w:color w:val="0D0D0D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19"/>
        <w:gridCol w:w="1219"/>
      </w:tblGrid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評鑑項目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配分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自評得分</w:t>
            </w: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(</w:t>
            </w:r>
            <w:proofErr w:type="gramStart"/>
            <w:r w:rsidRPr="002225DC">
              <w:rPr>
                <w:rFonts w:ascii="Calibri" w:eastAsia="標楷體" w:hAnsi="Calibri" w:cs="Times New Roman" w:hint="eastAsia"/>
                <w:color w:val="0D0D0D"/>
              </w:rPr>
              <w:t>一</w:t>
            </w:r>
            <w:proofErr w:type="gramEnd"/>
            <w:r w:rsidRPr="002225DC">
              <w:rPr>
                <w:rFonts w:ascii="Calibri" w:eastAsia="標楷體" w:hAnsi="Calibri" w:cs="Times New Roman" w:hint="eastAsia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組織、計畫與宣導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25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二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教學與活動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30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三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交通安全與輔導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40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四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創新與重大成效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5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683" w:hanging="400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總計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100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</w:p>
        </w:tc>
      </w:tr>
    </w:tbl>
    <w:p w:rsidR="007D11F4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93789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自評總分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Pr="00103D99" w:rsidRDefault="007D11F4" w:rsidP="007D11F4">
      <w:pPr>
        <w:spacing w:line="0" w:lineRule="atLeast"/>
        <w:rPr>
          <w:rFonts w:ascii="Calibri" w:eastAsia="新細明體" w:hAnsi="Calibri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</w:t>
      </w:r>
    </w:p>
    <w:p w:rsidR="007D11F4" w:rsidRPr="00993789" w:rsidRDefault="007D11F4" w:rsidP="007D11F4">
      <w:pPr>
        <w:spacing w:line="0" w:lineRule="atLeast"/>
        <w:rPr>
          <w:color w:val="0D0D0D"/>
          <w:sz w:val="20"/>
        </w:rPr>
      </w:pPr>
      <w:r>
        <w:rPr>
          <w:rFonts w:hint="eastAsia"/>
          <w:color w:val="0D0D0D"/>
          <w:sz w:val="20"/>
        </w:rPr>
        <w:t xml:space="preserve">      </w:t>
      </w: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>訪視結果總分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     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</w:p>
    <w:p w:rsidR="007D11F4" w:rsidRP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Cs w:val="24"/>
        </w:rPr>
      </w:pP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填表人簽章：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校長簽章：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 </w:t>
      </w:r>
    </w:p>
    <w:p w:rsidR="00993789" w:rsidRPr="007D11F4" w:rsidRDefault="007D11F4" w:rsidP="007D11F4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填表日期：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年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月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日</w:t>
      </w:r>
    </w:p>
    <w:p w:rsidR="00993789" w:rsidRPr="00CD258E" w:rsidRDefault="00993789" w:rsidP="00CD258E">
      <w:pPr>
        <w:spacing w:line="640" w:lineRule="exact"/>
        <w:jc w:val="center"/>
        <w:rPr>
          <w:rFonts w:ascii="標楷體" w:eastAsia="標楷體" w:hAnsi="標楷體"/>
          <w:b/>
          <w:color w:val="0D0D0D"/>
          <w:sz w:val="40"/>
          <w:szCs w:val="40"/>
          <w:u w:val="single"/>
        </w:rPr>
      </w:pP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lastRenderedPageBreak/>
        <w:t>花蓮縣</w:t>
      </w:r>
      <w:proofErr w:type="gramStart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110</w:t>
      </w:r>
      <w:proofErr w:type="gramEnd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年度國民小學交通安全教育執行報告自</w:t>
      </w:r>
      <w:proofErr w:type="gramStart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評表訪</w:t>
      </w:r>
      <w:proofErr w:type="gramEnd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視評分標準</w:t>
      </w:r>
    </w:p>
    <w:p w:rsidR="00064B3A" w:rsidRDefault="00064B3A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CD258E" w:rsidRDefault="00993789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  <w:r w:rsidRPr="00CD258E">
        <w:rPr>
          <w:rFonts w:ascii="標楷體" w:eastAsia="標楷體" w:hAnsi="標楷體" w:hint="eastAsia"/>
          <w:b/>
          <w:color w:val="0D0D0D"/>
          <w:sz w:val="32"/>
          <w:szCs w:val="32"/>
        </w:rPr>
        <w:t>壹、國民小學交通安全教育核心能力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（一）我看得見您，您看得見我，交通最安全。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（二）謹守安全空間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不作沒有絕對安全把握之交通行為。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（三）利他用路觀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不作妨礙他人安全與方便之交通行為。</w:t>
      </w:r>
    </w:p>
    <w:p w:rsidR="00993789" w:rsidRPr="00993789" w:rsidRDefault="00993789" w:rsidP="00CD258E">
      <w:pPr>
        <w:snapToGrid w:val="0"/>
        <w:spacing w:line="640" w:lineRule="exact"/>
        <w:ind w:left="848" w:hangingChars="303" w:hanging="848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（四）防衛兼顧的用路行為</w:t>
      </w:r>
      <w:proofErr w:type="gramStart"/>
      <w:r w:rsidRPr="00993789">
        <w:rPr>
          <w:rFonts w:ascii="標楷體" w:eastAsia="標楷體" w:hAnsi="標楷體"/>
          <w:color w:val="0D0D0D"/>
          <w:sz w:val="28"/>
          <w:szCs w:val="28"/>
        </w:rPr>
        <w:t>—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不作事故的製造者，也不成為無辜的事故受害者。</w:t>
      </w:r>
    </w:p>
    <w:p w:rsidR="00BD76D3" w:rsidRDefault="00BD76D3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103D99" w:rsidRDefault="00103D99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B606C3" w:rsidRDefault="007D11F4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貳、國民小學交通安全教育訪視評分</w:t>
      </w:r>
      <w:r w:rsidR="00BD76D3">
        <w:rPr>
          <w:rFonts w:ascii="標楷體" w:eastAsia="標楷體" w:hAnsi="標楷體" w:hint="eastAsia"/>
          <w:b/>
          <w:color w:val="0D0D0D"/>
          <w:sz w:val="32"/>
          <w:szCs w:val="32"/>
        </w:rPr>
        <w:t>標準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、項目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FA7DC3" w:rsidRPr="00BB3991" w:rsidTr="00AA377B">
        <w:trPr>
          <w:trHeight w:val="309"/>
        </w:trPr>
        <w:tc>
          <w:tcPr>
            <w:tcW w:w="916" w:type="dxa"/>
            <w:shd w:val="clear" w:color="auto" w:fill="FFFFFF"/>
            <w:vAlign w:val="center"/>
          </w:tcPr>
          <w:p w:rsidR="00FA7DC3" w:rsidRDefault="00FA7DC3" w:rsidP="0009619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面向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A7DC3" w:rsidRPr="00FA7DC3" w:rsidRDefault="00FA7DC3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標準項目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A7DC3" w:rsidRPr="00BB3991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評分說</w:t>
            </w:r>
            <w:r>
              <w:rPr>
                <w:rFonts w:ascii="標楷體" w:eastAsia="標楷體" w:hAnsi="標楷體" w:hint="eastAsia"/>
                <w:color w:val="0D0D0D"/>
              </w:rPr>
              <w:t>明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給分原則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配分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自評分數</w:t>
            </w:r>
          </w:p>
        </w:tc>
        <w:tc>
          <w:tcPr>
            <w:tcW w:w="447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學校執行情形</w:t>
            </w:r>
          </w:p>
        </w:tc>
      </w:tr>
      <w:tr w:rsidR="00CD258E" w:rsidRPr="00BB3991" w:rsidTr="00AA377B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組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織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計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畫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與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宣</w:t>
            </w:r>
          </w:p>
          <w:p w:rsidR="00CD258E" w:rsidRPr="00BB3991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導</w:t>
            </w:r>
            <w:r w:rsidRPr="00BD76D3">
              <w:rPr>
                <w:rFonts w:ascii="標楷體" w:eastAsia="標楷體" w:hAnsi="標楷體"/>
                <w:color w:val="0D0D0D"/>
                <w:sz w:val="28"/>
                <w:szCs w:val="28"/>
              </w:rPr>
              <w:t>(25%)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09619F">
              <w:rPr>
                <w:rFonts w:eastAsia="標楷體"/>
                <w:color w:val="0D0D0D"/>
              </w:rPr>
              <w:t>1-1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成立交通安全教育推動組織，定期召開委員會議，規劃、檢討與改進交通安全教育有關事宜（包括交通安全教育年度實施計畫、</w:t>
            </w:r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計劃目標之</w:t>
            </w:r>
            <w:proofErr w:type="gramStart"/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研</w:t>
            </w:r>
            <w:proofErr w:type="gramEnd"/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擬、學生交通核心能力之規劃</w:t>
            </w:r>
            <w:r w:rsidRPr="00FA7DC3">
              <w:rPr>
                <w:rFonts w:eastAsia="標楷體" w:hint="eastAsia"/>
                <w:color w:val="0D0D0D"/>
                <w:szCs w:val="20"/>
              </w:rPr>
              <w:t>等）。</w:t>
            </w:r>
            <w:r w:rsidRPr="00FA7DC3">
              <w:rPr>
                <w:rFonts w:eastAsia="標楷體"/>
                <w:color w:val="0D0D0D"/>
                <w:szCs w:val="20"/>
              </w:rPr>
              <w:t>(10%)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1-1-1</w:t>
            </w:r>
          </w:p>
          <w:p w:rsidR="00CD258E" w:rsidRPr="00AA377B" w:rsidRDefault="00CD258E" w:rsidP="00FA7DC3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組織辦法與架構完整，成員擴大至校外人士，</w:t>
            </w:r>
            <w:r w:rsidRPr="00BB3991">
              <w:rPr>
                <w:rFonts w:eastAsia="標楷體" w:hint="eastAsia"/>
                <w:color w:val="0D0D0D"/>
                <w:szCs w:val="20"/>
              </w:rPr>
              <w:t>定期召開會議，</w:t>
            </w:r>
            <w:r w:rsidR="00AA377B">
              <w:rPr>
                <w:rFonts w:eastAsia="標楷體" w:hAnsi="標楷體" w:hint="eastAsia"/>
                <w:color w:val="0D0D0D"/>
                <w:szCs w:val="20"/>
              </w:rPr>
              <w:t>紀錄完整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D258E" w:rsidRPr="004C7E5F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組織架構不完整，或未能定期開會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2.0-2.8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組織架構完整，定期召開會議，並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</w:rPr>
              <w:t>有會議紀錄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2.9-3.5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□組織運作良好，具體討論交通安全</w:t>
            </w:r>
          </w:p>
          <w:p w:rsidR="00CD258E" w:rsidRPr="004C7E5F" w:rsidRDefault="00AA377B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事項，紀錄完整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D258E" w:rsidRPr="00BB3991" w:rsidTr="00AA377B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CD258E" w:rsidRDefault="00CD258E" w:rsidP="00BD76D3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1-1-2</w:t>
            </w:r>
          </w:p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訂定實施計畫與相關執行辦法或要點，並就計畫推動情形進行檢討、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考核</w:t>
            </w:r>
          </w:p>
        </w:tc>
        <w:tc>
          <w:tcPr>
            <w:tcW w:w="3402" w:type="dxa"/>
            <w:shd w:val="clear" w:color="auto" w:fill="FFFFFF"/>
          </w:tcPr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□有計畫及行事曆並執行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3.0-4.2</w:t>
            </w:r>
          </w:p>
          <w:p w:rsidR="00AA377B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□能掌握校本課題，</w:t>
            </w: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擬妥計劃目標及</w:t>
            </w:r>
          </w:p>
          <w:p w:rsid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學生應具備之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交通核心能力，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並有</w:t>
            </w:r>
          </w:p>
          <w:p w:rsidR="00CD258E" w:rsidRP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計畫執行紀錄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4.3-5.3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能將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計畫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目標、學生應具備之交通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核心能力及教育內容連接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，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建立架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構，並</w:t>
            </w: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有計畫管考機制，計畫執行</w:t>
            </w:r>
          </w:p>
          <w:p w:rsidR="00CD258E" w:rsidRPr="00AA377B" w:rsidRDefault="00F153BF" w:rsidP="00F153BF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與考核紀錄完整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5.4-6.0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168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C7E5F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>
              <w:rPr>
                <w:rFonts w:eastAsia="標楷體"/>
                <w:color w:val="0D0D0D"/>
              </w:rPr>
              <w:t>1-2</w:t>
            </w:r>
          </w:p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強化教師交通安全教育知能，並進行成效之檢討與回饋。</w:t>
            </w:r>
            <w:r w:rsidRPr="00FA7DC3">
              <w:rPr>
                <w:rFonts w:eastAsia="標楷體"/>
                <w:color w:val="0D0D0D"/>
                <w:szCs w:val="20"/>
              </w:rPr>
              <w:t xml:space="preserve"> (9%)</w:t>
            </w:r>
          </w:p>
          <w:p w:rsidR="004C7E5F" w:rsidRPr="00FA7DC3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1-2-1</w:t>
            </w:r>
          </w:p>
          <w:p w:rsidR="004C7E5F" w:rsidRPr="004C7E5F" w:rsidRDefault="004C7E5F" w:rsidP="0009619F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召開全校</w:t>
            </w:r>
            <w:r w:rsidR="00AA377B">
              <w:rPr>
                <w:rFonts w:eastAsia="標楷體" w:hint="eastAsia"/>
                <w:color w:val="0D0D0D"/>
                <w:szCs w:val="20"/>
              </w:rPr>
              <w:t>教職員交通安全教育座談會，並就相關意見或決議事項進行追踪、檢討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對校本問題進行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SWOT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分析，並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定期開會</w:t>
            </w:r>
            <w:r w:rsidR="00B606C3"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2.5-3.5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□有具體辦理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3.6-4.4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□有列管、追蹤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4C7E5F" w:rsidRPr="00B606C3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49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1-2-2</w:t>
            </w:r>
          </w:p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辦理交通安全教師研習、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示範教學等教師增能多元學習活動，並進行成效檢討與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回饋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□參與校外研習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□學校辦理研習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□有質化或量化的成效分析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FA7DC3" w:rsidRPr="00BB3991" w:rsidTr="00B606C3">
        <w:trPr>
          <w:trHeight w:val="309"/>
        </w:trPr>
        <w:tc>
          <w:tcPr>
            <w:tcW w:w="916" w:type="dxa"/>
            <w:vMerge/>
            <w:shd w:val="clear" w:color="auto" w:fill="FFFFFF"/>
          </w:tcPr>
          <w:p w:rsidR="00FA7DC3" w:rsidRPr="00BB3991" w:rsidRDefault="00FA7DC3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B606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B606C3">
              <w:rPr>
                <w:rFonts w:eastAsia="標楷體"/>
                <w:color w:val="0D0D0D"/>
              </w:rPr>
              <w:t>1-3</w:t>
            </w:r>
          </w:p>
          <w:p w:rsidR="00FA7DC3" w:rsidRPr="00FA7D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向家長與社區民眾進行宣導。</w:t>
            </w:r>
            <w:r w:rsidRPr="00FA7DC3">
              <w:rPr>
                <w:rFonts w:eastAsia="標楷體"/>
                <w:color w:val="0D0D0D"/>
                <w:szCs w:val="20"/>
              </w:rPr>
              <w:t>(6%)</w:t>
            </w:r>
          </w:p>
        </w:tc>
        <w:tc>
          <w:tcPr>
            <w:tcW w:w="1984" w:type="dxa"/>
            <w:shd w:val="clear" w:color="auto" w:fill="FFFFFF"/>
          </w:tcPr>
          <w:p w:rsidR="00FA7DC3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1-3-1</w:t>
            </w:r>
          </w:p>
          <w:p w:rsidR="00B606C3" w:rsidRPr="00BB3991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B606C3">
              <w:rPr>
                <w:rFonts w:ascii="Calibri" w:eastAsia="標楷體" w:hAnsi="Calibri" w:cs="Times New Roman" w:hint="eastAsia"/>
                <w:color w:val="0D0D0D"/>
                <w:szCs w:val="20"/>
              </w:rPr>
              <w:t>利用座談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會、網路、活動、公布欄等多元型式或管道向家長與社區民眾進行宣導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□有執行，但宣導活動紀錄不完整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3.0-4.2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有具體推動目標及對象族群，利用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多元方式執行，且宣導活動紀錄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完整</w:t>
            </w:r>
            <w:r w:rsidR="00B606C3"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4.3-5.3</w:t>
            </w:r>
          </w:p>
          <w:p w:rsidR="00FA7DC3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□有具體成效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5.4-6.0</w:t>
            </w:r>
          </w:p>
        </w:tc>
        <w:tc>
          <w:tcPr>
            <w:tcW w:w="709" w:type="dxa"/>
            <w:shd w:val="clear" w:color="auto" w:fill="FFFFFF"/>
          </w:tcPr>
          <w:p w:rsidR="00FA7DC3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368"/>
        </w:trPr>
        <w:tc>
          <w:tcPr>
            <w:tcW w:w="916" w:type="dxa"/>
            <w:vMerge w:val="restart"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二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、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教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學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與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活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動</w:t>
            </w:r>
            <w:r w:rsidRPr="00B606C3"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 xml:space="preserve"> (30%)</w:t>
            </w: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Pr="00BB3991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3130C" w:rsidRPr="00E46709" w:rsidRDefault="0033130C" w:rsidP="00B606C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2-1</w:t>
            </w:r>
          </w:p>
          <w:p w:rsidR="0033130C" w:rsidRPr="00B606C3" w:rsidRDefault="0033130C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規劃符合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  <w:lang w:eastAsia="zh-HK"/>
              </w:rPr>
              <w:t>交通安全核心能力的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教學課程與設計相關教案，並運用相關資源進行教學。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 (10%)</w:t>
            </w: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2-1-1</w:t>
            </w:r>
          </w:p>
          <w:p w:rsidR="0033130C" w:rsidRDefault="0033130C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規劃各年級課程主題、課程架構</w:t>
            </w:r>
          </w:p>
          <w:p w:rsidR="0033130C" w:rsidRPr="00B606C3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、時數，並能切合學生交通安全核心能力</w:t>
            </w:r>
          </w:p>
        </w:tc>
        <w:tc>
          <w:tcPr>
            <w:tcW w:w="3402" w:type="dxa"/>
            <w:shd w:val="clear" w:color="auto" w:fill="FFFFFF"/>
          </w:tcPr>
          <w:p w:rsidR="0033130C" w:rsidRPr="00A450E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□僅呈現交通安全教育的主題及實</w:t>
            </w:r>
          </w:p>
          <w:p w:rsidR="0033130C" w:rsidRPr="00A450E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施時間</w:t>
            </w:r>
            <w:r w:rsidR="0033130C"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□呈現各年級課程中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，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融入交通主題</w:t>
            </w:r>
          </w:p>
          <w:p w:rsid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的課程架構、時數，且有詳細的教</w:t>
            </w:r>
          </w:p>
          <w:p w:rsidR="0033130C" w:rsidRPr="00A450E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學方式說明</w:t>
            </w:r>
            <w:r w:rsidR="0033130C"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□依據學生應有交通安全核心能力</w:t>
            </w:r>
          </w:p>
          <w:p w:rsid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規劃課程、時數，且有詳細的教學</w:t>
            </w:r>
          </w:p>
          <w:p w:rsidR="0033130C" w:rsidRP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方式說明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246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2-1-2</w:t>
            </w:r>
          </w:p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課程內容以與學童相關問題為主</w:t>
            </w:r>
          </w:p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，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如行人、自行車和乘客</w:t>
            </w:r>
            <w:r w:rsidRPr="00A450E9">
              <w:rPr>
                <w:rFonts w:ascii="標楷體" w:eastAsia="標楷體" w:hAnsi="標楷體" w:cs="Times New Roman"/>
                <w:color w:val="0D0D0D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機車</w:t>
            </w:r>
          </w:p>
          <w:p w:rsidR="0033130C" w:rsidRPr="00E4670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、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汽車和大客車</w:t>
            </w:r>
            <w:r w:rsidRPr="00A450E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等課程主題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□內容僅見單一主題且教學內容單</w:t>
            </w:r>
          </w:p>
          <w:p w:rsidR="0033130C" w:rsidRPr="0033130C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薄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□內容涵蓋較多主題，但教學內容單</w:t>
            </w:r>
          </w:p>
          <w:p w:rsidR="0033130C" w:rsidRPr="0033130C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薄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□內容涵蓋許多主題，且教學內容多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元豐富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B606C3">
        <w:trPr>
          <w:trHeight w:val="335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2-1-3</w:t>
            </w:r>
          </w:p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善用交通安全相關資源與教案，並積極自編合宜教案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□運用其他單位所編撰的教案進行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教學但量少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□大量運用其他單位編寫教案進行</w:t>
            </w:r>
          </w:p>
          <w:p w:rsidR="00E46709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教學或自行編寫教案但量少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□自行編寫的教案皆以學校的交通</w:t>
            </w:r>
          </w:p>
          <w:p w:rsid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proofErr w:type="gramStart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安全校</w:t>
            </w:r>
            <w:proofErr w:type="gramEnd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本問題為主且內容豐富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 xml:space="preserve">  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AB456E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2-1-4</w:t>
            </w:r>
          </w:p>
          <w:p w:rsidR="007B6954" w:rsidRPr="0033130C" w:rsidRDefault="007B6954" w:rsidP="008736C1">
            <w:pPr>
              <w:spacing w:line="0" w:lineRule="atLeast"/>
              <w:rPr>
                <w:rFonts w:eastAsia="標楷體" w:hAnsi="標楷體"/>
                <w:color w:val="0D0D0D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Cs w:val="20"/>
              </w:rPr>
              <w:t>進行教學成效之檢討與回饋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7B6954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□召開教學會議進行檢討教學的成</w:t>
            </w:r>
          </w:p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效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0.5-0.7</w:t>
            </w:r>
          </w:p>
          <w:p w:rsidR="007B6954" w:rsidRPr="00E46709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□有設計成效評量方法，並檢討教學</w:t>
            </w:r>
          </w:p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成效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0.8</w:t>
            </w:r>
          </w:p>
          <w:p w:rsidR="007B6954" w:rsidRPr="00E46709" w:rsidRDefault="007B6954" w:rsidP="008736C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□有設計多元成效評量方法，並檢討</w:t>
            </w:r>
          </w:p>
          <w:p w:rsidR="007B6954" w:rsidRPr="00E46709" w:rsidRDefault="007B6954" w:rsidP="008736C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教學成效且能依據成效修正教學</w:t>
            </w:r>
          </w:p>
          <w:p w:rsidR="007B6954" w:rsidRPr="0033130C" w:rsidRDefault="007B6954" w:rsidP="008736C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0.9-1.0</w:t>
            </w: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8736C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B606C3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2-2</w:t>
            </w:r>
          </w:p>
          <w:p w:rsidR="007B6954" w:rsidRPr="0033130C" w:rsidRDefault="007B6954" w:rsidP="00F214C2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校內落實情境教學或實地參觀校外交通環境，進行情境教學。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>(6%)</w:t>
            </w:r>
          </w:p>
        </w:tc>
        <w:tc>
          <w:tcPr>
            <w:tcW w:w="1984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E46709">
              <w:rPr>
                <w:rFonts w:ascii="標楷體" w:eastAsia="標楷體" w:hAnsi="標楷體"/>
                <w:color w:val="0D0D0D"/>
                <w:szCs w:val="20"/>
              </w:rPr>
              <w:t>2-2-1</w:t>
            </w:r>
          </w:p>
          <w:p w:rsidR="007B6954" w:rsidRPr="0033130C" w:rsidRDefault="007B6954" w:rsidP="00F214C2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配合校園地形地物設置交通安全標誌、標線、號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誌</w:t>
            </w:r>
            <w:proofErr w:type="gramEnd"/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等交通設施</w:t>
            </w:r>
          </w:p>
        </w:tc>
        <w:tc>
          <w:tcPr>
            <w:tcW w:w="3402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□有設置交通安全標誌、標線、號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誌</w:t>
            </w:r>
            <w:proofErr w:type="gramEnd"/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等交通設施，但未能符合情境教學</w:t>
            </w:r>
          </w:p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之需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□配合校園地形地物設置交通安全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誌</w:t>
            </w:r>
            <w:proofErr w:type="gramEnd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等交通設施，且</w:t>
            </w:r>
          </w:p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符合情境教學之需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7B6954" w:rsidRDefault="007B6954" w:rsidP="00F214C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□設置交通道路環境體驗區，內容</w:t>
            </w:r>
          </w:p>
          <w:p w:rsidR="007B6954" w:rsidRDefault="007B6954" w:rsidP="00F214C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豐富、適宜，且符合情境教學之需</w:t>
            </w:r>
          </w:p>
          <w:p w:rsidR="007B6954" w:rsidRPr="0033130C" w:rsidRDefault="007B6954" w:rsidP="00F214C2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F214C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B606C3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B730E6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2-2-2</w:t>
            </w:r>
          </w:p>
          <w:p w:rsidR="007B6954" w:rsidRPr="0033130C" w:rsidRDefault="007B6954" w:rsidP="00B730E6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F964B3">
              <w:rPr>
                <w:rFonts w:ascii="Calibri" w:eastAsia="標楷體" w:hAnsi="Calibri" w:cs="Times New Roman" w:hint="eastAsia"/>
                <w:color w:val="0D0D0D"/>
                <w:szCs w:val="20"/>
              </w:rPr>
              <w:t>校外交通環境之情境教學，如利用輔助教材（如校外社區交通地圖）或實地進行校外交通環境之情境教學</w:t>
            </w:r>
          </w:p>
        </w:tc>
        <w:tc>
          <w:tcPr>
            <w:tcW w:w="3402" w:type="dxa"/>
            <w:shd w:val="clear" w:color="auto" w:fill="FFFFFF"/>
          </w:tcPr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學區道路交通環境地圖進行教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□實地進行校外交通環境教學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□實地進行校外交通環境教學，且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製作社區交通安全地圖並有搭配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的教學活動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  <w:p w:rsidR="007B6954" w:rsidRPr="0033130C" w:rsidRDefault="007B6954" w:rsidP="00B730E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B730E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AA377B" w:rsidRDefault="00AA377B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D12AA7" w:rsidRPr="0033130C" w:rsidTr="00186266">
        <w:trPr>
          <w:trHeight w:val="1832"/>
        </w:trPr>
        <w:tc>
          <w:tcPr>
            <w:tcW w:w="916" w:type="dxa"/>
            <w:vMerge w:val="restart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186266">
              <w:rPr>
                <w:rFonts w:ascii="標楷體" w:eastAsia="標楷體" w:hAnsi="標楷體" w:cs="Times New Roman"/>
                <w:color w:val="0D0D0D"/>
              </w:rPr>
              <w:t>2-3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舉辦全校性交通安全相關活動</w:t>
            </w:r>
            <w:proofErr w:type="gramStart"/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（</w:t>
            </w:r>
            <w:proofErr w:type="gramEnd"/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例如：交通安全常識測驗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、學藝活動或比賽，專題演講、案例宣</w:t>
            </w:r>
          </w:p>
          <w:p w:rsidR="00D12AA7" w:rsidRPr="0033130C" w:rsidRDefault="00D12AA7" w:rsidP="0044146E">
            <w:pPr>
              <w:spacing w:line="0" w:lineRule="atLeast"/>
              <w:rPr>
                <w:rFonts w:eastAsia="標楷體"/>
                <w:color w:val="0D0D0D"/>
              </w:rPr>
            </w:pPr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導、拍攝上放學或周遭環境檢視行為及危險路口等</w:t>
            </w:r>
            <w:proofErr w:type="gramStart"/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）</w:t>
            </w:r>
            <w:proofErr w:type="gramEnd"/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。</w:t>
            </w:r>
            <w:r w:rsidRPr="0044146E">
              <w:rPr>
                <w:rFonts w:ascii="Calibri" w:eastAsia="標楷體" w:hAnsi="Calibri" w:cs="Times New Roman"/>
                <w:color w:val="0D0D0D"/>
                <w:szCs w:val="20"/>
              </w:rPr>
              <w:t>(9%)</w:t>
            </w: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2-3-1</w:t>
            </w:r>
          </w:p>
          <w:p w:rsidR="00D12AA7" w:rsidRPr="0033130C" w:rsidRDefault="00D12AA7" w:rsidP="00186266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訂定交通安全活動辦法及實施計畫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，且活動執行過程相關資料建檔完整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□部分活動有辦法或實施計畫及活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動成果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1.0-1.4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□活動皆有辦法或實施計畫，活動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過程資料較不完整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1.5-1.7</w:t>
            </w:r>
          </w:p>
          <w:p w:rsidR="00D12AA7" w:rsidRDefault="00D12AA7" w:rsidP="00186266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□活動皆有辦法及實施計畫</w:t>
            </w:r>
            <w:r w:rsidRPr="00186266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，且相關</w:t>
            </w:r>
            <w:r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</w:p>
          <w:p w:rsidR="00D12AA7" w:rsidRPr="0033130C" w:rsidRDefault="00D12AA7" w:rsidP="0018626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資料建檔完整</w:t>
            </w:r>
            <w:r w:rsidRPr="00186266"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7B6954">
        <w:trPr>
          <w:trHeight w:val="1943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2-3-2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Calibri" w:eastAsia="標楷體" w:hAnsi="Calibri" w:cs="Times New Roman" w:hint="eastAsia"/>
                <w:color w:val="0D0D0D"/>
                <w:szCs w:val="20"/>
              </w:rPr>
              <w:t>辦理全校性的活動，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且活動能依自己的校本問題做設計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□活動非全校性，且主軸非學校的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交通安全校本問題1.5-2.2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□活動非全校性，但主軸為學校的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交通安全校本問題2.3-2.6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□活動為全校性，且主軸為學校的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交通安全校本問題2.7-3.0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186266">
        <w:trPr>
          <w:trHeight w:val="771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2-3-3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交通安全活動內容及型態多樣化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□活動內容以學藝競賽為主1.5-2.2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□活動內容除了學藝競賽</w:t>
            </w:r>
            <w:proofErr w:type="gramStart"/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以外，</w:t>
            </w:r>
            <w:proofErr w:type="gramEnd"/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其他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活動為配合性，非以交通為主軸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2.3-2.6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□活動主軸為學童之用路人角色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相關活動且方式多元有趣2.7-3.0</w:t>
            </w:r>
          </w:p>
        </w:tc>
        <w:tc>
          <w:tcPr>
            <w:tcW w:w="709" w:type="dxa"/>
            <w:shd w:val="clear" w:color="auto" w:fill="FFFFFF"/>
          </w:tcPr>
          <w:p w:rsidR="00D12AA7" w:rsidRPr="00186266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7B6954">
        <w:trPr>
          <w:trHeight w:val="1715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2-3-4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活動結束後，皆能進行成效分析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並依照成效結果做活動的修正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□有質化或量化的具體成效分析0.5-0.7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□有質及量的具體成效分析0.8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□有質及量的具體成效分析且能依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據成效修正活動0.9-1.0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480B42">
        <w:trPr>
          <w:trHeight w:val="690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>
              <w:rPr>
                <w:rFonts w:ascii="標楷體" w:eastAsia="標楷體" w:hAnsi="標楷體" w:cs="Times New Roman" w:hint="eastAsia"/>
                <w:color w:val="0D0D0D"/>
              </w:rPr>
              <w:t>2-4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辦理交通安全校外</w:t>
            </w:r>
            <w:r>
              <w:rPr>
                <w:rFonts w:ascii="標楷體" w:eastAsia="標楷體" w:hAnsi="標楷體" w:cs="Times New Roman" w:hint="eastAsia"/>
                <w:color w:val="0D0D0D"/>
              </w:rPr>
              <w:t>教學輔導活動，</w:t>
            </w: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規劃完善的安全措施及實施安全教育。(5%)</w:t>
            </w: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2-4-1</w:t>
            </w:r>
          </w:p>
          <w:p w:rsidR="00D12AA7" w:rsidRP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辦理交通安全校外教學輔導活動時，出車前能對車輛安全進行審核。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□校外教學有作業流程並能依照</w:t>
            </w:r>
            <w:proofErr w:type="gramStart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規</w:t>
            </w:r>
            <w:proofErr w:type="gramEnd"/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定辦理相關作業1.0-1.4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□僅見單一次校外教學出車前能對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車輛安全進行審核1.5-1.7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□每次校外教學出車前能對車輛</w:t>
            </w:r>
          </w:p>
          <w:p w:rsidR="00D12AA7" w:rsidRP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安全進行審核且資料完整1.8-2.0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D12AA7">
        <w:trPr>
          <w:trHeight w:val="1200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2-4-2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舉辦行前教育，包括行前說明及安全門逃生演練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□舉辦行前說明會1.0-1.4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□進行</w:t>
            </w:r>
            <w:proofErr w:type="gramStart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行</w:t>
            </w:r>
            <w:proofErr w:type="gramEnd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前安全教學僅播放大客車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安全影片1.5-1.7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□實際進行逃生演練1.6-2.0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1258FE">
        <w:trPr>
          <w:trHeight w:val="1126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2-4-3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交通安全校外教學輔導活動結束後，針對交通安全事項召開檢討會議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□召開檢討會議0.5-0.7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□召開檢討會議且會議紀錄完整0.8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□會議有具體結論並有意見回饋作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為下次校外教學之參考0.9-1.0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BB3991" w:rsidTr="00513734">
        <w:trPr>
          <w:trHeight w:val="1376"/>
        </w:trPr>
        <w:tc>
          <w:tcPr>
            <w:tcW w:w="916" w:type="dxa"/>
            <w:vMerge w:val="restart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proofErr w:type="gramEnd"/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安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全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與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輔</w:t>
            </w:r>
          </w:p>
          <w:p w:rsidR="00D12AA7" w:rsidRPr="00BB3991" w:rsidRDefault="00D12AA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導(40%)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子標準3-1</w:t>
            </w:r>
          </w:p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建制學生通學資料與運用，並設置路隊及短期補習班、兒童課後照顧服務班與中心接送規劃。(8%)</w:t>
            </w:r>
          </w:p>
        </w:tc>
        <w:tc>
          <w:tcPr>
            <w:tcW w:w="1984" w:type="dxa"/>
            <w:shd w:val="clear" w:color="auto" w:fill="FFFFFF"/>
          </w:tcPr>
          <w:p w:rsidR="00D12AA7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/>
                <w:color w:val="0D0D0D"/>
                <w:szCs w:val="20"/>
              </w:rPr>
              <w:t>3-1-1</w:t>
            </w:r>
          </w:p>
          <w:p w:rsidR="00513734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詳細完整的學生通學方式資料</w:t>
            </w:r>
          </w:p>
        </w:tc>
        <w:tc>
          <w:tcPr>
            <w:tcW w:w="3402" w:type="dxa"/>
            <w:shd w:val="clear" w:color="auto" w:fill="FFFFFF"/>
          </w:tcPr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缺漏或不完整0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ab/>
            </w:r>
          </w:p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□有相關資料整理1.5-2.2</w:t>
            </w:r>
          </w:p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□能區分上放學及運具資料2.3-2.6</w:t>
            </w:r>
          </w:p>
          <w:p w:rsid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□能區分每一日上放學及運具使用</w:t>
            </w:r>
          </w:p>
          <w:p w:rsidR="00D12AA7" w:rsidRPr="004C7E5F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D12AA7" w:rsidRDefault="0051373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BB3991" w:rsidTr="00D12AA7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D12AA7" w:rsidRDefault="00D12AA7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3-1-2</w:t>
            </w:r>
          </w:p>
          <w:p w:rsidR="00513734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學生路隊組織及短期補習班、兒童課後照顧服務班與中心接送規劃</w:t>
            </w:r>
          </w:p>
        </w:tc>
        <w:tc>
          <w:tcPr>
            <w:tcW w:w="3402" w:type="dxa"/>
            <w:shd w:val="clear" w:color="auto" w:fill="FFFFFF"/>
          </w:tcPr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□差0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ab/>
            </w:r>
          </w:p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□須大幅改進2.5-3.5</w:t>
            </w:r>
          </w:p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須略作</w:t>
            </w:r>
            <w:proofErr w:type="gramEnd"/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調整3.6-4.4</w:t>
            </w:r>
          </w:p>
          <w:p w:rsid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□能有效結合通學資料且規劃、管制</w:t>
            </w:r>
          </w:p>
          <w:p w:rsidR="00D12AA7" w:rsidRPr="004C7E5F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，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運作良好4.5-5.0</w:t>
            </w:r>
          </w:p>
        </w:tc>
        <w:tc>
          <w:tcPr>
            <w:tcW w:w="709" w:type="dxa"/>
            <w:shd w:val="clear" w:color="auto" w:fill="FFFFFF"/>
          </w:tcPr>
          <w:p w:rsidR="00D12AA7" w:rsidRDefault="0051373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513734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子標準3-2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規劃人車動線、交通工具停放的安排，實施交通管制。 (8%)</w:t>
            </w:r>
          </w:p>
        </w:tc>
        <w:tc>
          <w:tcPr>
            <w:tcW w:w="1984" w:type="dxa"/>
            <w:shd w:val="clear" w:color="auto" w:fill="FFFFFF"/>
          </w:tcPr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3-2-1</w:t>
            </w:r>
          </w:p>
          <w:p w:rsidR="00456EE7" w:rsidRPr="00513734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通學環境及校內人車動線規劃</w:t>
            </w:r>
          </w:p>
        </w:tc>
        <w:tc>
          <w:tcPr>
            <w:tcW w:w="3402" w:type="dxa"/>
            <w:shd w:val="clear" w:color="auto" w:fill="FFFFFF"/>
          </w:tcPr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□嚴重人車衝突0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□部分人車衝突1.5-2.2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□略有人車衝突2.3-2.6</w:t>
            </w:r>
          </w:p>
          <w:p w:rsidR="00456EE7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□無人車衝突2.7-3.0</w:t>
            </w:r>
          </w:p>
        </w:tc>
        <w:tc>
          <w:tcPr>
            <w:tcW w:w="709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456EE7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56EE7" w:rsidRPr="00FA7DC3" w:rsidRDefault="00456EE7" w:rsidP="00A5508F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3-2-2</w:t>
            </w:r>
          </w:p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B5367">
              <w:rPr>
                <w:rFonts w:ascii="標楷體" w:eastAsia="標楷體" w:hAnsi="標楷體" w:hint="eastAsia"/>
                <w:color w:val="0D0D0D"/>
              </w:rPr>
              <w:t>校內各種交通工具停放設施</w:t>
            </w:r>
          </w:p>
        </w:tc>
        <w:tc>
          <w:tcPr>
            <w:tcW w:w="3402" w:type="dxa"/>
            <w:shd w:val="clear" w:color="auto" w:fill="FFFFFF"/>
          </w:tcPr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□未適當規劃0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□須大幅改進1.5-2.2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調整2.3-2.6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妥適且運作</w:t>
            </w:r>
            <w:proofErr w:type="gramEnd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良好2.7-3.0</w:t>
            </w:r>
          </w:p>
        </w:tc>
        <w:tc>
          <w:tcPr>
            <w:tcW w:w="709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D12AA7">
        <w:trPr>
          <w:trHeight w:val="406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56EE7" w:rsidRPr="00FA7DC3" w:rsidRDefault="00456EE7" w:rsidP="00A5508F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56EE7" w:rsidRPr="00BB3991" w:rsidRDefault="00456EE7" w:rsidP="00D47E4D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/>
                <w:color w:val="0D0D0D"/>
                <w:szCs w:val="20"/>
              </w:rPr>
              <w:t>3.</w:t>
            </w:r>
            <w:r w:rsidRPr="00BB3991">
              <w:rPr>
                <w:rFonts w:eastAsia="標楷體" w:hint="eastAsia"/>
                <w:color w:val="0D0D0D"/>
                <w:szCs w:val="20"/>
              </w:rPr>
              <w:t>校門及校內交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通管制狀況</w:t>
            </w:r>
          </w:p>
        </w:tc>
        <w:tc>
          <w:tcPr>
            <w:tcW w:w="3402" w:type="dxa"/>
            <w:shd w:val="clear" w:color="auto" w:fill="FFFFFF"/>
          </w:tcPr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不良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ab/>
            </w:r>
          </w:p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普通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良好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456EE7" w:rsidRPr="00BB3991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優良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456EE7" w:rsidRPr="00BB3991" w:rsidRDefault="00456EE7" w:rsidP="00D47E4D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子標準3-3</w:t>
            </w:r>
          </w:p>
          <w:p w:rsidR="007B6954" w:rsidRPr="0021448B" w:rsidRDefault="007B6954" w:rsidP="00A07C45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交通服務及導護的規劃與管理。 (8%)</w:t>
            </w:r>
          </w:p>
        </w:tc>
        <w:tc>
          <w:tcPr>
            <w:tcW w:w="1984" w:type="dxa"/>
            <w:shd w:val="clear" w:color="auto" w:fill="FFFFFF"/>
          </w:tcPr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3-3-1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訂定交通服務隊或糾察隊選拔及表揚辦法，且有良好的訓練計畫與執行狀況(含紀錄)。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07C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A07C45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/>
                <w:color w:val="0D0D0D"/>
                <w:szCs w:val="20"/>
              </w:rPr>
              <w:t>3-3-2</w:t>
            </w:r>
          </w:p>
          <w:p w:rsidR="007B6954" w:rsidRPr="00BB3991" w:rsidRDefault="007B6954" w:rsidP="00A07C45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proofErr w:type="gramStart"/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訂定導護</w:t>
            </w:r>
            <w:proofErr w:type="gramEnd"/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工作實施要點及考核獎勵措施，且有良好的訓練計畫與執行狀況</w:t>
            </w:r>
            <w:r w:rsidRPr="0021448B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含紀錄</w:t>
            </w:r>
            <w:r w:rsidRPr="0021448B">
              <w:rPr>
                <w:rFonts w:ascii="標楷體" w:eastAsia="標楷體" w:hAnsi="標楷體"/>
                <w:color w:val="0D0D0D"/>
                <w:szCs w:val="20"/>
              </w:rPr>
              <w:t>)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□乏善可陳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07C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A07C45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/>
                <w:color w:val="0D0D0D"/>
                <w:szCs w:val="20"/>
              </w:rPr>
              <w:t>3-3-3</w:t>
            </w:r>
          </w:p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參與之學生數量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、導護人數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以及相關的裝備。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□非常欠缺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□相當充足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Default="007B6954" w:rsidP="00794B06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3-4</w:t>
            </w:r>
          </w:p>
          <w:p w:rsidR="007B6954" w:rsidRPr="00FA7DC3" w:rsidRDefault="007B6954" w:rsidP="00794B06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針對學生違規、交通事故作統計，並實施輔導作為。</w:t>
            </w:r>
            <w:r w:rsidRPr="00020EB8">
              <w:rPr>
                <w:rFonts w:eastAsia="標楷體" w:hint="eastAsia"/>
                <w:color w:val="0D0D0D"/>
              </w:rPr>
              <w:t>(8%)</w:t>
            </w:r>
          </w:p>
        </w:tc>
        <w:tc>
          <w:tcPr>
            <w:tcW w:w="1984" w:type="dxa"/>
            <w:shd w:val="clear" w:color="auto" w:fill="FFFFFF"/>
          </w:tcPr>
          <w:p w:rsidR="007B6954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3-4-1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統計學生違規、交通事故資料，且有輔導作為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7B6954" w:rsidRPr="006F0072" w:rsidRDefault="007B6954" w:rsidP="00794B0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6F0072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33130C" w:rsidRDefault="0033130C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7B6954" w:rsidRPr="00BB3991" w:rsidTr="00020EB8">
        <w:trPr>
          <w:trHeight w:val="1420"/>
        </w:trPr>
        <w:tc>
          <w:tcPr>
            <w:tcW w:w="916" w:type="dxa"/>
            <w:vMerge w:val="restart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020EB8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3-4-2</w:t>
            </w:r>
          </w:p>
          <w:p w:rsidR="007B6954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利用學區交通事故資料分析事故特性態樣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（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如時間、空間、違規型態、碰撞型態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Cs w:val="20"/>
              </w:rPr>
              <w:t>，且能運用於教學與活動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99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3-5</w:t>
            </w:r>
          </w:p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規劃家長接送區及鼓勵學生步行。</w:t>
            </w:r>
            <w:r w:rsidRPr="00020EB8">
              <w:rPr>
                <w:rFonts w:eastAsia="標楷體" w:hint="eastAsia"/>
                <w:color w:val="0D0D0D"/>
              </w:rPr>
              <w:t>(4%)</w:t>
            </w:r>
          </w:p>
          <w:p w:rsidR="007B6954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7B6954" w:rsidRPr="00FA7DC3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3-5-1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家長接送區之設置完善與運作良好。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□相當不完善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17"/>
                <w:szCs w:val="17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□規劃與運作良好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470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3-5-2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能善用學校環境及鼓勵學生步行一段路進出校園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□差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□規劃與運作良好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3-6</w:t>
            </w:r>
          </w:p>
          <w:p w:rsidR="007B6954" w:rsidRPr="00020EB8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建立愛心服務站的機制與管理。</w:t>
            </w:r>
            <w:r w:rsidRPr="00020EB8">
              <w:rPr>
                <w:rFonts w:eastAsia="標楷體" w:hint="eastAsia"/>
                <w:color w:val="0D0D0D"/>
              </w:rPr>
              <w:t>(4%)</w:t>
            </w: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3-6-1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愛心服務站計畫與執行</w:t>
            </w:r>
            <w:r w:rsidRPr="00020EB8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含相關辦法</w:t>
            </w:r>
            <w:r w:rsidRPr="00020EB8">
              <w:rPr>
                <w:rFonts w:ascii="標楷體" w:eastAsia="標楷體" w:hAnsi="標楷體"/>
                <w:color w:val="0D0D0D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74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3-6-2</w:t>
            </w: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定期追蹤與檢討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1.0-1.5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1.6-1.8</w:t>
            </w:r>
          </w:p>
          <w:p w:rsidR="007B6954" w:rsidRPr="00BB3991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BB3991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2816F2">
        <w:trPr>
          <w:trHeight w:val="1470"/>
        </w:trPr>
        <w:tc>
          <w:tcPr>
            <w:tcW w:w="916" w:type="dxa"/>
            <w:vMerge w:val="restart"/>
            <w:shd w:val="clear" w:color="auto" w:fill="FFFFFF"/>
            <w:vAlign w:val="center"/>
          </w:tcPr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四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、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創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新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與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lastRenderedPageBreak/>
              <w:t>重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大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成</w:t>
            </w:r>
          </w:p>
          <w:p w:rsidR="007B6954" w:rsidRPr="00BB3991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效</w:t>
            </w:r>
            <w:r w:rsidRPr="002816F2">
              <w:rPr>
                <w:rFonts w:eastAsia="標楷體" w:hint="eastAsia"/>
                <w:color w:val="0D0D0D"/>
              </w:rPr>
              <w:t xml:space="preserve"> (5%)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Pr="00020EB8" w:rsidRDefault="007B6954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/>
                <w:color w:val="0D0D0D"/>
                <w:szCs w:val="20"/>
              </w:rPr>
              <w:t>4-0-1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</w:t>
            </w:r>
            <w:proofErr w:type="gramStart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三</w:t>
            </w:r>
            <w:proofErr w:type="gramEnd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年內獲得縣市政府（或全國）之交通安全獎項</w:t>
            </w:r>
          </w:p>
        </w:tc>
        <w:tc>
          <w:tcPr>
            <w:tcW w:w="3402" w:type="dxa"/>
            <w:shd w:val="clear" w:color="auto" w:fill="FFFFFF"/>
          </w:tcPr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1.0-1.7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項以上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2816F2">
        <w:trPr>
          <w:trHeight w:val="1620"/>
        </w:trPr>
        <w:tc>
          <w:tcPr>
            <w:tcW w:w="916" w:type="dxa"/>
            <w:vMerge/>
            <w:shd w:val="clear" w:color="auto" w:fill="FFFFFF"/>
            <w:vAlign w:val="center"/>
          </w:tcPr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4-0-2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最近三年學校有其他特殊、創新或優良事蹟</w:t>
            </w:r>
          </w:p>
        </w:tc>
        <w:tc>
          <w:tcPr>
            <w:tcW w:w="3402" w:type="dxa"/>
            <w:shd w:val="clear" w:color="auto" w:fill="FFFFFF"/>
          </w:tcPr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□有別於傳統作法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□有成效良好之作法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□有值得他校參考之作為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103D99" w:rsidRDefault="00103D99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p w:rsidR="00103D99" w:rsidRDefault="00103D99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9"/>
      </w:tblGrid>
      <w:tr w:rsidR="00103D99" w:rsidRPr="00103D99" w:rsidTr="00103D99">
        <w:trPr>
          <w:trHeight w:val="574"/>
        </w:trPr>
        <w:tc>
          <w:tcPr>
            <w:tcW w:w="14459" w:type="dxa"/>
            <w:vAlign w:val="center"/>
          </w:tcPr>
          <w:p w:rsidR="00103D99" w:rsidRPr="00103D99" w:rsidRDefault="00103D99" w:rsidP="00103D99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學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校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評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proofErr w:type="gramStart"/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特</w:t>
            </w:r>
            <w:proofErr w:type="gramEnd"/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色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與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點</w:t>
            </w:r>
          </w:p>
        </w:tc>
      </w:tr>
      <w:tr w:rsidR="00103D99" w:rsidRPr="00103D99" w:rsidTr="007B6954">
        <w:trPr>
          <w:trHeight w:val="6023"/>
        </w:trPr>
        <w:tc>
          <w:tcPr>
            <w:tcW w:w="14459" w:type="dxa"/>
          </w:tcPr>
          <w:p w:rsidR="00103D99" w:rsidRPr="00103D99" w:rsidRDefault="00103D99" w:rsidP="00A5508F">
            <w:pPr>
              <w:spacing w:line="0" w:lineRule="atLeast"/>
              <w:rPr>
                <w:rFonts w:ascii="Calibri" w:eastAsia="新細明體" w:hAnsi="Calibri" w:cs="Times New Roman"/>
                <w:color w:val="0D0D0D"/>
                <w:sz w:val="20"/>
              </w:rPr>
            </w:pPr>
          </w:p>
        </w:tc>
      </w:tr>
    </w:tbl>
    <w:p w:rsidR="00103D99" w:rsidRPr="00103D99" w:rsidRDefault="00103D99" w:rsidP="00103D99">
      <w:pPr>
        <w:rPr>
          <w:rFonts w:ascii="Calibri" w:eastAsia="新細明體" w:hAnsi="Calibri" w:cs="Times New Roman"/>
          <w:vanish/>
        </w:rPr>
      </w:pPr>
      <w:bookmarkStart w:id="0" w:name="_GoBack"/>
      <w:bookmarkEnd w:id="0"/>
    </w:p>
    <w:p w:rsidR="00103D99" w:rsidRPr="00103D99" w:rsidRDefault="00103D99" w:rsidP="00103D99">
      <w:pPr>
        <w:spacing w:line="0" w:lineRule="atLeast"/>
        <w:rPr>
          <w:rFonts w:ascii="標楷體" w:eastAsia="標楷體" w:hAnsi="標楷體" w:cs="Times New Roman"/>
          <w:color w:val="0D0D0D"/>
        </w:rPr>
      </w:pPr>
    </w:p>
    <w:sectPr w:rsidR="00103D99" w:rsidRPr="00103D99" w:rsidSect="00993789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6B" w:rsidRDefault="001B116B" w:rsidP="00412EDF">
      <w:r>
        <w:separator/>
      </w:r>
    </w:p>
  </w:endnote>
  <w:endnote w:type="continuationSeparator" w:id="0">
    <w:p w:rsidR="001B116B" w:rsidRDefault="001B116B" w:rsidP="004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9209"/>
      <w:docPartObj>
        <w:docPartGallery w:val="Page Numbers (Bottom of Page)"/>
        <w:docPartUnique/>
      </w:docPartObj>
    </w:sdtPr>
    <w:sdtEndPr/>
    <w:sdtContent>
      <w:p w:rsidR="00480B42" w:rsidRDefault="00480B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54" w:rsidRPr="007B6954">
          <w:rPr>
            <w:noProof/>
            <w:lang w:val="zh-TW"/>
          </w:rPr>
          <w:t>10</w:t>
        </w:r>
        <w:r>
          <w:fldChar w:fldCharType="end"/>
        </w:r>
      </w:p>
    </w:sdtContent>
  </w:sdt>
  <w:p w:rsidR="00480B42" w:rsidRDefault="00480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6B" w:rsidRDefault="001B116B" w:rsidP="00412EDF">
      <w:r>
        <w:separator/>
      </w:r>
    </w:p>
  </w:footnote>
  <w:footnote w:type="continuationSeparator" w:id="0">
    <w:p w:rsidR="001B116B" w:rsidRDefault="001B116B" w:rsidP="0041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6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6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000006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7640603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458E2675"/>
    <w:multiLevelType w:val="multilevel"/>
    <w:tmpl w:val="8E62D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0"/>
    <w:rsid w:val="00004918"/>
    <w:rsid w:val="0001566B"/>
    <w:rsid w:val="00020EB8"/>
    <w:rsid w:val="00064B3A"/>
    <w:rsid w:val="0009619F"/>
    <w:rsid w:val="00101898"/>
    <w:rsid w:val="00103D99"/>
    <w:rsid w:val="001258FE"/>
    <w:rsid w:val="00186266"/>
    <w:rsid w:val="001A35AB"/>
    <w:rsid w:val="001B0F57"/>
    <w:rsid w:val="001B116B"/>
    <w:rsid w:val="0021448B"/>
    <w:rsid w:val="002225DC"/>
    <w:rsid w:val="002816F2"/>
    <w:rsid w:val="003100C1"/>
    <w:rsid w:val="0033130C"/>
    <w:rsid w:val="00336EB1"/>
    <w:rsid w:val="00350484"/>
    <w:rsid w:val="00351C17"/>
    <w:rsid w:val="003D4C03"/>
    <w:rsid w:val="003F526F"/>
    <w:rsid w:val="00412EDF"/>
    <w:rsid w:val="0044146E"/>
    <w:rsid w:val="00456EE7"/>
    <w:rsid w:val="00480B42"/>
    <w:rsid w:val="004C7E5F"/>
    <w:rsid w:val="00513734"/>
    <w:rsid w:val="005309CD"/>
    <w:rsid w:val="005E0FDD"/>
    <w:rsid w:val="006D228F"/>
    <w:rsid w:val="007B6954"/>
    <w:rsid w:val="007D11F4"/>
    <w:rsid w:val="007D6FE2"/>
    <w:rsid w:val="008206C7"/>
    <w:rsid w:val="00874521"/>
    <w:rsid w:val="008952A5"/>
    <w:rsid w:val="00915A85"/>
    <w:rsid w:val="00930E99"/>
    <w:rsid w:val="00972229"/>
    <w:rsid w:val="00993528"/>
    <w:rsid w:val="00993789"/>
    <w:rsid w:val="00A450E9"/>
    <w:rsid w:val="00AA377B"/>
    <w:rsid w:val="00AB22C1"/>
    <w:rsid w:val="00AD6B28"/>
    <w:rsid w:val="00B47C0A"/>
    <w:rsid w:val="00B606C3"/>
    <w:rsid w:val="00BC6BC0"/>
    <w:rsid w:val="00BD76D3"/>
    <w:rsid w:val="00CB5367"/>
    <w:rsid w:val="00CD258E"/>
    <w:rsid w:val="00D12AA7"/>
    <w:rsid w:val="00D96450"/>
    <w:rsid w:val="00DC58A8"/>
    <w:rsid w:val="00E40E9B"/>
    <w:rsid w:val="00E4148F"/>
    <w:rsid w:val="00E46709"/>
    <w:rsid w:val="00EE4804"/>
    <w:rsid w:val="00F153BF"/>
    <w:rsid w:val="00F17F17"/>
    <w:rsid w:val="00F52B00"/>
    <w:rsid w:val="00F964B3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F881-D01B-47D0-8C3C-5068339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799</Words>
  <Characters>4559</Characters>
  <Application>Microsoft Office Word</Application>
  <DocSecurity>0</DocSecurity>
  <Lines>37</Lines>
  <Paragraphs>10</Paragraphs>
  <ScaleCrop>false</ScaleCrop>
  <Company>jhon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19</cp:revision>
  <cp:lastPrinted>2021-07-23T07:56:00Z</cp:lastPrinted>
  <dcterms:created xsi:type="dcterms:W3CDTF">2021-07-22T07:28:00Z</dcterms:created>
  <dcterms:modified xsi:type="dcterms:W3CDTF">2021-08-03T06:38:00Z</dcterms:modified>
</cp:coreProperties>
</file>