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8" w:rsidRPr="00F94C1C" w:rsidRDefault="007F5108" w:rsidP="00EA3367">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r w:rsidR="000E7E27" w:rsidRPr="00F94C1C">
        <w:rPr>
          <w:rFonts w:ascii="標楷體" w:eastAsia="標楷體" w:hAnsi="標楷體" w:hint="eastAsia"/>
          <w:b/>
          <w:color w:val="000000"/>
          <w:sz w:val="32"/>
          <w:szCs w:val="32"/>
        </w:rPr>
        <w:t>11</w:t>
      </w:r>
      <w:r w:rsidR="003278FC">
        <w:rPr>
          <w:rFonts w:ascii="標楷體" w:eastAsia="標楷體" w:hAnsi="標楷體" w:hint="eastAsia"/>
          <w:b/>
          <w:color w:val="000000"/>
          <w:sz w:val="32"/>
          <w:szCs w:val="32"/>
        </w:rPr>
        <w:t>1</w:t>
      </w:r>
      <w:r w:rsidRPr="00F94C1C">
        <w:rPr>
          <w:rFonts w:ascii="標楷體" w:eastAsia="標楷體" w:hAnsi="標楷體" w:hint="eastAsia"/>
          <w:b/>
          <w:color w:val="000000"/>
          <w:sz w:val="32"/>
          <w:szCs w:val="32"/>
        </w:rPr>
        <w:t>年度第</w:t>
      </w:r>
      <w:r w:rsidR="003278FC">
        <w:rPr>
          <w:rFonts w:ascii="標楷體" w:eastAsia="標楷體" w:hAnsi="標楷體" w:hint="eastAsia"/>
          <w:b/>
          <w:color w:val="000000"/>
          <w:sz w:val="32"/>
          <w:szCs w:val="32"/>
        </w:rPr>
        <w:t>1</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EA3367">
        <w:rPr>
          <w:rFonts w:ascii="標楷體" w:eastAsia="標楷體" w:hAnsi="標楷體" w:hint="eastAsia"/>
          <w:b/>
          <w:color w:val="000000"/>
          <w:sz w:val="32"/>
          <w:szCs w:val="32"/>
        </w:rPr>
        <w:t>平和國中、</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r w:rsidR="00F04ED5"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(一)</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97474F" w:rsidRDefault="00E018B4" w:rsidP="0097474F">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w:t>
      </w:r>
    </w:p>
    <w:p w:rsidR="007F5108" w:rsidRPr="0097474F" w:rsidRDefault="0097474F" w:rsidP="0097474F">
      <w:pPr>
        <w:snapToGrid w:val="0"/>
        <w:spacing w:line="240"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(一)</w:t>
      </w:r>
      <w:r w:rsidRPr="0097474F">
        <w:rPr>
          <w:rFonts w:ascii="標楷體" w:eastAsia="標楷體" w:hAnsi="標楷體" w:cs="新細明體" w:hint="eastAsia"/>
          <w:color w:val="000000"/>
          <w:sz w:val="28"/>
          <w:szCs w:val="28"/>
        </w:rPr>
        <w:t>未具雙重國籍或多重國籍之中華民國國民。</w:t>
      </w:r>
    </w:p>
    <w:p w:rsidR="0097474F" w:rsidRDefault="00340A98" w:rsidP="0097474F">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w:t>
      </w:r>
      <w:r w:rsidR="0097474F">
        <w:rPr>
          <w:rFonts w:ascii="標楷體" w:eastAsia="標楷體" w:hAnsi="標楷體"/>
          <w:color w:val="000000"/>
          <w:sz w:val="28"/>
          <w:szCs w:val="28"/>
        </w:rPr>
        <w:t xml:space="preserve"> </w:t>
      </w:r>
    </w:p>
    <w:p w:rsidR="00340A98" w:rsidRPr="0097474F" w:rsidRDefault="0097474F" w:rsidP="0097474F">
      <w:pPr>
        <w:spacing w:line="240" w:lineRule="auto"/>
        <w:ind w:leftChars="-1" w:left="866" w:hangingChars="310" w:hanging="86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40A98" w:rsidRPr="0097474F">
        <w:rPr>
          <w:rFonts w:ascii="標楷體" w:eastAsia="標楷體" w:hAnsi="標楷體"/>
          <w:color w:val="000000"/>
          <w:sz w:val="28"/>
          <w:szCs w:val="28"/>
        </w:rPr>
        <w:t>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EA3367"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w:t>
      </w:r>
      <w:r w:rsidR="00EA3367">
        <w:rPr>
          <w:rFonts w:ascii="標楷體" w:eastAsia="標楷體" w:hAnsi="標楷體" w:hint="eastAsia"/>
          <w:color w:val="000000"/>
          <w:sz w:val="28"/>
          <w:szCs w:val="28"/>
        </w:rPr>
        <w:t>平和國中、</w:t>
      </w:r>
      <w:r w:rsidRPr="0097474F">
        <w:rPr>
          <w:rFonts w:ascii="標楷體" w:eastAsia="標楷體" w:hAnsi="標楷體" w:hint="eastAsia"/>
          <w:color w:val="000000"/>
          <w:sz w:val="28"/>
          <w:szCs w:val="28"/>
        </w:rPr>
        <w:t>萬榮國中、三民國中、玉東國中及</w:t>
      </w:r>
    </w:p>
    <w:p w:rsidR="00E018B4" w:rsidRPr="0097474F" w:rsidRDefault="00EA336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富里國中)</w:t>
      </w:r>
      <w:r w:rsidR="00E018B4"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社工師共</w:t>
      </w:r>
      <w:r>
        <w:rPr>
          <w:rFonts w:ascii="標楷體" w:eastAsia="標楷體" w:hAnsi="標楷體" w:hint="eastAsia"/>
          <w:color w:val="000000"/>
          <w:sz w:val="28"/>
          <w:szCs w:val="28"/>
        </w:rPr>
        <w:t>5</w:t>
      </w:r>
      <w:r w:rsidR="00F94C1C" w:rsidRPr="0097474F">
        <w:rPr>
          <w:rFonts w:ascii="標楷體" w:eastAsia="標楷體" w:hAnsi="標楷體" w:hint="eastAsia"/>
          <w:color w:val="000000"/>
          <w:sz w:val="28"/>
          <w:szCs w:val="28"/>
        </w:rPr>
        <w:t>名。</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EA3367"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EA3367">
        <w:rPr>
          <w:rFonts w:ascii="標楷體" w:eastAsia="標楷體" w:hAnsi="標楷體" w:hint="eastAsia"/>
          <w:color w:val="000000"/>
          <w:sz w:val="28"/>
          <w:szCs w:val="28"/>
        </w:rPr>
        <w:t>平和國中、</w:t>
      </w:r>
      <w:r w:rsidR="005C7ABB" w:rsidRPr="0097474F">
        <w:rPr>
          <w:rFonts w:ascii="標楷體" w:eastAsia="標楷體" w:hAnsi="標楷體" w:hint="eastAsia"/>
          <w:color w:val="000000"/>
          <w:sz w:val="28"/>
          <w:szCs w:val="28"/>
        </w:rPr>
        <w:t>萬榮國中、三民國中、玉東國中及富</w:t>
      </w:r>
    </w:p>
    <w:p w:rsidR="001379B1" w:rsidRPr="0097474F" w:rsidRDefault="00EA336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7ABB" w:rsidRPr="0097474F">
        <w:rPr>
          <w:rFonts w:ascii="標楷體" w:eastAsia="標楷體" w:hAnsi="標楷體" w:hint="eastAsia"/>
          <w:color w:val="000000"/>
          <w:sz w:val="28"/>
          <w:szCs w:val="28"/>
        </w:rPr>
        <w:t>里國中</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C87FDA">
        <w:rPr>
          <w:rFonts w:ascii="標楷體" w:eastAsia="標楷體" w:hAnsi="標楷體" w:hint="eastAsia"/>
          <w:color w:val="000000"/>
          <w:sz w:val="28"/>
          <w:szCs w:val="28"/>
        </w:rPr>
        <w:t>及</w:t>
      </w:r>
      <w:r w:rsidR="008C146A">
        <w:rPr>
          <w:rFonts w:ascii="標楷體" w:eastAsia="標楷體" w:hAnsi="標楷體" w:hint="eastAsia"/>
          <w:color w:val="000000"/>
          <w:sz w:val="28"/>
          <w:szCs w:val="28"/>
        </w:rPr>
        <w:t>鄰近</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由學校通報有諮商需求，但未有其他社福機構社工介入服務學生之家庭；或者學生家庭符合輔諮中心社工服務開案標準之家庭進行初談、家庭訪</w:t>
      </w:r>
      <w:r w:rsidR="00C10325" w:rsidRPr="0097474F">
        <w:rPr>
          <w:rFonts w:ascii="標楷體" w:eastAsia="標楷體" w:hAnsi="標楷體" w:hint="eastAsia"/>
          <w:color w:val="000000"/>
          <w:sz w:val="28"/>
          <w:szCs w:val="28"/>
        </w:rPr>
        <w:t>視、初步評估、危機介入協助、轉介及資源聯結。平均每月提供轉介</w:t>
      </w:r>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之團督。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1B01D3" w:rsidRPr="0097474F" w:rsidRDefault="001B01D3" w:rsidP="0097474F">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（一）</w:t>
      </w:r>
      <w:r w:rsidR="00671133" w:rsidRPr="0097474F">
        <w:rPr>
          <w:rFonts w:ascii="標楷體" w:eastAsia="標楷體" w:hAnsi="標楷體" w:hint="eastAsia"/>
          <w:sz w:val="28"/>
          <w:szCs w:val="28"/>
        </w:rPr>
        <w:t>國內公私立大學或經教育部承認之國外大學以上</w:t>
      </w:r>
      <w:r w:rsidR="00CE3C8B" w:rsidRPr="0097474F">
        <w:rPr>
          <w:rFonts w:ascii="標楷體" w:eastAsia="標楷體" w:hAnsi="標楷體" w:hint="eastAsia"/>
          <w:sz w:val="28"/>
          <w:szCs w:val="28"/>
        </w:rPr>
        <w:t>社會工作相關科、系(組)畢業</w:t>
      </w:r>
      <w:r w:rsidR="00671133" w:rsidRPr="0097474F">
        <w:rPr>
          <w:rFonts w:ascii="標楷體" w:eastAsia="標楷體" w:hAnsi="標楷體" w:hint="eastAsia"/>
          <w:sz w:val="28"/>
          <w:szCs w:val="28"/>
        </w:rPr>
        <w:t>，並領有國內社工師證照。</w:t>
      </w:r>
    </w:p>
    <w:p w:rsidR="00556ABD" w:rsidRPr="0097474F" w:rsidRDefault="00556ABD"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00BA4F7E" w:rsidRPr="00BA4F7E">
        <w:rPr>
          <w:rFonts w:ascii="標楷體" w:eastAsia="標楷體" w:hAnsi="標楷體" w:hint="eastAsia"/>
          <w:color w:val="000000"/>
          <w:sz w:val="28"/>
          <w:szCs w:val="28"/>
        </w:rPr>
        <w:t>具兒童青少年諮商相關經驗尤佳。</w:t>
      </w:r>
      <w:bookmarkStart w:id="0" w:name="_GoBack"/>
      <w:bookmarkEnd w:id="0"/>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FE14A3">
        <w:rPr>
          <w:rFonts w:ascii="標楷體" w:eastAsia="標楷體" w:hAnsi="標楷體" w:hint="eastAsia"/>
          <w:color w:val="000000"/>
          <w:sz w:val="28"/>
          <w:szCs w:val="28"/>
        </w:rPr>
        <w:t>公告日</w:t>
      </w:r>
      <w:r w:rsidR="007E5E8D" w:rsidRPr="007E5E8D">
        <w:rPr>
          <w:rFonts w:ascii="標楷體" w:eastAsia="標楷體" w:hAnsi="標楷體" w:hint="eastAsia"/>
          <w:color w:val="000000"/>
          <w:sz w:val="28"/>
          <w:szCs w:val="28"/>
        </w:rPr>
        <w:t>至11</w:t>
      </w:r>
      <w:r w:rsidR="00E80F7E">
        <w:rPr>
          <w:rFonts w:ascii="標楷體" w:eastAsia="標楷體" w:hAnsi="標楷體" w:hint="eastAsia"/>
          <w:color w:val="000000"/>
          <w:sz w:val="28"/>
          <w:szCs w:val="28"/>
        </w:rPr>
        <w:t>1</w:t>
      </w:r>
      <w:r w:rsidR="007E5E8D" w:rsidRPr="007E5E8D">
        <w:rPr>
          <w:rFonts w:ascii="標楷體" w:eastAsia="標楷體" w:hAnsi="標楷體" w:hint="eastAsia"/>
          <w:color w:val="000000"/>
          <w:sz w:val="28"/>
          <w:szCs w:val="28"/>
        </w:rPr>
        <w:t>年</w:t>
      </w:r>
      <w:r w:rsidR="00E80F7E">
        <w:rPr>
          <w:rFonts w:ascii="標楷體" w:eastAsia="標楷體" w:hAnsi="標楷體" w:hint="eastAsia"/>
          <w:color w:val="000000"/>
          <w:sz w:val="28"/>
          <w:szCs w:val="28"/>
        </w:rPr>
        <w:t>1</w:t>
      </w:r>
      <w:r w:rsidR="007E5E8D" w:rsidRPr="007E5E8D">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7</w:t>
      </w:r>
      <w:r w:rsidR="007E5E8D" w:rsidRPr="007E5E8D">
        <w:rPr>
          <w:rFonts w:ascii="標楷體" w:eastAsia="標楷體" w:hAnsi="標楷體" w:hint="eastAsia"/>
          <w:color w:val="000000"/>
          <w:sz w:val="28"/>
          <w:szCs w:val="28"/>
        </w:rPr>
        <w:t>日</w:t>
      </w:r>
      <w:r w:rsidR="00C51DCE">
        <w:rPr>
          <w:rFonts w:ascii="標楷體" w:eastAsia="標楷體" w:hAnsi="標楷體" w:hint="eastAsia"/>
          <w:color w:val="000000"/>
          <w:sz w:val="28"/>
          <w:szCs w:val="28"/>
        </w:rPr>
        <w:t>止</w:t>
      </w:r>
      <w:r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w:t>
      </w:r>
      <w:r w:rsidR="00C51DCE" w:rsidRPr="00C51DCE">
        <w:rPr>
          <w:rFonts w:hint="eastAsia"/>
        </w:rPr>
        <w:t xml:space="preserve"> </w:t>
      </w:r>
      <w:r w:rsidR="00C51DCE" w:rsidRPr="00C51DCE">
        <w:rPr>
          <w:rFonts w:ascii="標楷體" w:eastAsia="標楷體" w:hAnsi="標楷體" w:hint="eastAsia"/>
          <w:color w:val="000000"/>
          <w:sz w:val="28"/>
          <w:szCs w:val="28"/>
        </w:rPr>
        <w:t>准考證報名當天發給。考試編號以電話另行通知，考試時程請於11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5F0B83">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10</w:t>
      </w:r>
      <w:r w:rsidR="00C51DCE" w:rsidRPr="00C51DCE">
        <w:rPr>
          <w:rFonts w:ascii="標楷體" w:eastAsia="標楷體" w:hAnsi="標楷體" w:hint="eastAsia"/>
          <w:color w:val="000000"/>
          <w:sz w:val="28"/>
          <w:szCs w:val="28"/>
        </w:rPr>
        <w:t>日逕上本府教育處全球資訊網處務公告查詢，11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5F0B83">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11</w:t>
      </w:r>
      <w:r w:rsidR="00C51DCE" w:rsidRPr="00C51DCE">
        <w:rPr>
          <w:rFonts w:ascii="標楷體" w:eastAsia="標楷體" w:hAnsi="標楷體" w:hint="eastAsia"/>
          <w:color w:val="000000"/>
          <w:sz w:val="28"/>
          <w:szCs w:val="28"/>
        </w:rPr>
        <w:t>日中午12時前未獲電話通知者請電洽花蓮縣學生諮商輔導中心。聯絡電話：（03）8532774、8532370。若無接獲電話通知且又未電洽花蓮縣學生輔導諮商中心者，視同放棄應考資格。</w:t>
      </w:r>
    </w:p>
    <w:p w:rsidR="00C51DCE" w:rsidRPr="0097474F" w:rsidRDefault="00C51DCE" w:rsidP="00C51DCE">
      <w:pPr>
        <w:spacing w:line="240" w:lineRule="auto"/>
        <w:ind w:leftChars="300" w:left="983" w:hangingChars="94" w:hanging="263"/>
        <w:rPr>
          <w:rFonts w:ascii="標楷體" w:eastAsia="標楷體" w:hAnsi="標楷體"/>
          <w:color w:val="000000"/>
          <w:sz w:val="28"/>
          <w:szCs w:val="28"/>
        </w:rPr>
      </w:pPr>
      <w:r w:rsidRPr="00C51DCE">
        <w:rPr>
          <w:rFonts w:ascii="標楷體" w:eastAsia="標楷體" w:hAnsi="標楷體" w:hint="eastAsia"/>
          <w:color w:val="000000"/>
          <w:sz w:val="28"/>
          <w:szCs w:val="28"/>
        </w:rPr>
        <w:t>9.繳交上述證件之影本，無論錄取與否概不退還。</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（二）一律採通訊報名，報名截止日為</w:t>
      </w:r>
      <w:r w:rsidR="006F53AD">
        <w:rPr>
          <w:rFonts w:ascii="標楷體" w:eastAsia="標楷體" w:hAnsi="標楷體" w:hint="eastAsia"/>
          <w:color w:val="000000"/>
          <w:sz w:val="28"/>
          <w:szCs w:val="28"/>
        </w:rPr>
        <w:t>11</w:t>
      </w:r>
      <w:r w:rsidR="00E80F7E">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6F53A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7</w:t>
      </w:r>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w:t>
      </w:r>
      <w:r w:rsidR="007F5108" w:rsidRPr="0097474F">
        <w:rPr>
          <w:rFonts w:ascii="標楷體" w:eastAsia="標楷體" w:hAnsi="標楷體" w:hint="eastAsia"/>
          <w:b/>
          <w:color w:val="000000"/>
          <w:sz w:val="28"/>
          <w:szCs w:val="28"/>
        </w:rPr>
        <w:t>以當天送達為準</w:t>
      </w:r>
      <w:r w:rsidR="007F5108" w:rsidRPr="0097474F">
        <w:rPr>
          <w:rFonts w:ascii="標楷體" w:eastAsia="標楷體" w:hAnsi="標楷體" w:hint="eastAsia"/>
          <w:color w:val="000000"/>
          <w:sz w:val="28"/>
          <w:szCs w:val="28"/>
        </w:rPr>
        <w:t>），請備齊以上資料逕寄花蓮縣學生輔導諮商中心(花蓮縣吉安鄉宜昌一街45號)，並於信封註明「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6F53AD">
        <w:rPr>
          <w:rFonts w:ascii="標楷體" w:eastAsia="標楷體" w:hAnsi="標楷體" w:hint="eastAsia"/>
          <w:color w:val="000000"/>
          <w:sz w:val="28"/>
          <w:szCs w:val="28"/>
        </w:rPr>
        <w:t>11</w:t>
      </w:r>
      <w:r w:rsidR="007E5E8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6F53A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月</w:t>
      </w:r>
      <w:r w:rsidR="006F53AD">
        <w:rPr>
          <w:rFonts w:ascii="標楷體" w:eastAsia="標楷體" w:hAnsi="標楷體" w:hint="eastAsia"/>
          <w:color w:val="000000"/>
          <w:sz w:val="28"/>
          <w:szCs w:val="28"/>
        </w:rPr>
        <w:t>1</w:t>
      </w:r>
      <w:r w:rsidR="007E5E8D">
        <w:rPr>
          <w:rFonts w:ascii="標楷體" w:eastAsia="標楷體" w:hAnsi="標楷體" w:hint="eastAsia"/>
          <w:color w:val="000000"/>
          <w:sz w:val="28"/>
          <w:szCs w:val="28"/>
        </w:rPr>
        <w:t>4</w:t>
      </w:r>
      <w:r w:rsidR="006F53AD" w:rsidRPr="006F664F">
        <w:rPr>
          <w:rFonts w:ascii="標楷體" w:eastAsia="標楷體" w:hAnsi="標楷體" w:hint="eastAsia"/>
          <w:color w:val="000000"/>
          <w:sz w:val="28"/>
          <w:szCs w:val="28"/>
        </w:rPr>
        <w:t>日</w:t>
      </w:r>
      <w:r w:rsidRPr="0097474F">
        <w:rPr>
          <w:rFonts w:ascii="標楷體" w:eastAsia="標楷體" w:hAnsi="標楷體" w:hint="eastAsia"/>
          <w:color w:val="000000"/>
          <w:sz w:val="28"/>
          <w:szCs w:val="28"/>
        </w:rPr>
        <w:t>，詳細資訊請於</w:t>
      </w:r>
      <w:r w:rsid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5F0B83">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10</w:t>
      </w:r>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逕上本府教育處全球資訊網處務公告</w:t>
      </w:r>
      <w:r w:rsidR="00525BEF" w:rsidRPr="0097474F">
        <w:rPr>
          <w:rFonts w:ascii="標楷體" w:eastAsia="標楷體" w:hAnsi="標楷體" w:hint="eastAsia"/>
          <w:color w:val="000000"/>
          <w:sz w:val="28"/>
          <w:szCs w:val="28"/>
        </w:rPr>
        <w:t>及花蓮縣學生輔導諮商中心網站</w:t>
      </w:r>
      <w:r w:rsidR="007E5E8D">
        <w:rPr>
          <w:rFonts w:ascii="標楷體" w:eastAsia="標楷體" w:hAnsi="標楷體" w:hint="eastAsia"/>
          <w:color w:val="000000"/>
          <w:sz w:val="28"/>
          <w:szCs w:val="28"/>
        </w:rPr>
        <w:t>查</w:t>
      </w:r>
      <w:r w:rsidR="007F5108" w:rsidRPr="0097474F">
        <w:rPr>
          <w:rFonts w:ascii="標楷體" w:eastAsia="標楷體" w:hAnsi="標楷體" w:hint="eastAsia"/>
          <w:color w:val="000000"/>
          <w:sz w:val="28"/>
          <w:szCs w:val="28"/>
        </w:rPr>
        <w:t>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八、甄試方式與程序：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1025F7"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p>
    <w:p w:rsidR="007F5108" w:rsidRPr="0097474F" w:rsidRDefault="001025F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分鐘晤談後的討論，共計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6F53AD" w:rsidRP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53AD">
        <w:rPr>
          <w:rFonts w:ascii="標楷體" w:eastAsia="標楷體" w:hAnsi="標楷體" w:hint="eastAsia"/>
          <w:color w:val="000000"/>
          <w:sz w:val="28"/>
          <w:szCs w:val="28"/>
        </w:rPr>
        <w:t>年</w:t>
      </w:r>
      <w:r w:rsidR="005F0B83">
        <w:rPr>
          <w:rFonts w:ascii="標楷體" w:eastAsia="標楷體" w:hAnsi="標楷體" w:hint="eastAsia"/>
          <w:color w:val="000000"/>
          <w:sz w:val="28"/>
          <w:szCs w:val="28"/>
        </w:rPr>
        <w:t>1</w:t>
      </w:r>
      <w:r w:rsidR="006F53AD" w:rsidRPr="006F53AD">
        <w:rPr>
          <w:rFonts w:ascii="標楷體" w:eastAsia="標楷體" w:hAnsi="標楷體" w:hint="eastAsia"/>
          <w:color w:val="000000"/>
          <w:sz w:val="28"/>
          <w:szCs w:val="28"/>
        </w:rPr>
        <w:t>月</w:t>
      </w:r>
      <w:r w:rsidR="00E80F7E">
        <w:rPr>
          <w:rFonts w:ascii="標楷體" w:eastAsia="標楷體" w:hAnsi="標楷體" w:hint="eastAsia"/>
          <w:color w:val="000000"/>
          <w:sz w:val="28"/>
          <w:szCs w:val="28"/>
        </w:rPr>
        <w:t>10</w:t>
      </w:r>
      <w:r w:rsidR="006F53AD" w:rsidRPr="006F53AD">
        <w:rPr>
          <w:rFonts w:ascii="標楷體" w:eastAsia="標楷體" w:hAnsi="標楷體" w:hint="eastAsia"/>
          <w:color w:val="000000"/>
          <w:sz w:val="28"/>
          <w:szCs w:val="28"/>
        </w:rPr>
        <w:t>日</w:t>
      </w:r>
      <w:r w:rsidR="00F75CE3" w:rsidRPr="0097474F">
        <w:rPr>
          <w:rFonts w:ascii="標楷體" w:eastAsia="標楷體" w:hAnsi="標楷體" w:hint="eastAsia"/>
          <w:color w:val="000000"/>
          <w:sz w:val="28"/>
          <w:szCs w:val="28"/>
        </w:rPr>
        <w:t>(星期</w:t>
      </w:r>
      <w:r w:rsidR="00C23531">
        <w:rPr>
          <w:rFonts w:ascii="標楷體" w:eastAsia="標楷體" w:hAnsi="標楷體" w:hint="eastAsia"/>
          <w:color w:val="000000"/>
          <w:sz w:val="28"/>
          <w:szCs w:val="28"/>
        </w:rPr>
        <w:t>二</w:t>
      </w:r>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r w:rsidRPr="0097474F">
        <w:rPr>
          <w:rFonts w:ascii="標楷體" w:eastAsia="標楷體" w:hAnsi="標楷體"/>
          <w:color w:val="000000"/>
          <w:sz w:val="28"/>
          <w:szCs w:val="28"/>
        </w:rPr>
        <w:t>—</w:t>
      </w:r>
      <w:r w:rsidRPr="0097474F">
        <w:rPr>
          <w:rFonts w:ascii="標楷體" w:eastAsia="標楷體" w:hAnsi="標楷體" w:hint="eastAsia"/>
          <w:color w:val="000000"/>
          <w:sz w:val="28"/>
          <w:szCs w:val="28"/>
        </w:rPr>
        <w:t>處務公告(</w:t>
      </w:r>
      <w:hyperlink r:id="rId8"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EA3367">
        <w:rPr>
          <w:rFonts w:ascii="標楷體" w:eastAsia="標楷體" w:hAnsi="標楷體" w:hint="eastAsia"/>
          <w:color w:val="000000"/>
          <w:sz w:val="28"/>
          <w:szCs w:val="28"/>
        </w:rPr>
        <w:t>5</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錄取人員依成績高低填寫志願序後分發，</w:t>
      </w:r>
      <w:r w:rsidR="007F5108" w:rsidRPr="0097474F">
        <w:rPr>
          <w:rFonts w:ascii="標楷體" w:eastAsia="標楷體" w:hAnsi="標楷體" w:hint="eastAsia"/>
          <w:color w:val="000000"/>
          <w:sz w:val="28"/>
          <w:szCs w:val="28"/>
        </w:rPr>
        <w:t>應徵人員甄試成績未達75分者，不予錄取。備取人員依序列冊三個月內候用。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w:t>
            </w:r>
            <w:r w:rsidR="007E5E8D">
              <w:rPr>
                <w:rFonts w:ascii="標楷體" w:eastAsia="標楷體" w:hAnsi="標楷體" w:hint="eastAsia"/>
                <w:b/>
                <w:color w:val="000000"/>
                <w:sz w:val="32"/>
                <w:szCs w:val="32"/>
              </w:rPr>
              <w:t>1</w:t>
            </w:r>
            <w:r w:rsidRPr="00A41B28">
              <w:rPr>
                <w:rFonts w:ascii="標楷體" w:eastAsia="標楷體" w:hAnsi="標楷體" w:hint="eastAsia"/>
                <w:b/>
                <w:color w:val="000000"/>
                <w:sz w:val="32"/>
                <w:szCs w:val="32"/>
              </w:rPr>
              <w:t>年度第</w:t>
            </w:r>
            <w:r w:rsidR="007E5E8D">
              <w:rPr>
                <w:rFonts w:ascii="標楷體" w:eastAsia="標楷體" w:hAnsi="標楷體" w:hint="eastAsia"/>
                <w:b/>
                <w:color w:val="000000"/>
                <w:sz w:val="32"/>
                <w:szCs w:val="32"/>
              </w:rPr>
              <w:t>1</w:t>
            </w:r>
            <w:r w:rsidRPr="00A41B28">
              <w:rPr>
                <w:rFonts w:ascii="標楷體" w:eastAsia="標楷體" w:hAnsi="標楷體" w:hint="eastAsia"/>
                <w:b/>
                <w:color w:val="000000"/>
                <w:sz w:val="32"/>
                <w:szCs w:val="32"/>
              </w:rPr>
              <w:t>次公告偏遠地區學校</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w:t>
            </w:r>
            <w:r w:rsidR="00EA3367">
              <w:rPr>
                <w:rFonts w:ascii="標楷體" w:eastAsia="標楷體" w:hAnsi="標楷體" w:hint="eastAsia"/>
                <w:b/>
                <w:color w:val="000000"/>
                <w:sz w:val="32"/>
                <w:szCs w:val="32"/>
              </w:rPr>
              <w:t>平和國中、</w:t>
            </w:r>
            <w:r w:rsidRPr="00A41B28">
              <w:rPr>
                <w:rFonts w:ascii="標楷體" w:eastAsia="標楷體" w:hAnsi="標楷體" w:hint="eastAsia"/>
                <w:b/>
                <w:color w:val="000000"/>
                <w:sz w:val="32"/>
                <w:szCs w:val="32"/>
              </w:rPr>
              <w:t>萬榮國中、三民國中、玉東國中及富里國中)</w:t>
            </w:r>
          </w:p>
          <w:p w:rsidR="00B73593" w:rsidRPr="00A41B28"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繳</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□1.身分證影本（正反面請印同面、A4紙勿裁剪）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EA3367"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w:t>
            </w:r>
            <w:r w:rsidR="007E5E8D">
              <w:rPr>
                <w:rFonts w:ascii="標楷體" w:eastAsia="標楷體" w:hAnsi="標楷體" w:hint="eastAsia"/>
                <w:b/>
                <w:color w:val="000000"/>
                <w:sz w:val="32"/>
                <w:szCs w:val="32"/>
              </w:rPr>
              <w:t>1</w:t>
            </w:r>
            <w:r w:rsidRPr="00A41B28">
              <w:rPr>
                <w:rFonts w:ascii="標楷體" w:eastAsia="標楷體" w:hAnsi="標楷體" w:hint="eastAsia"/>
                <w:b/>
                <w:color w:val="000000"/>
                <w:sz w:val="32"/>
                <w:szCs w:val="32"/>
              </w:rPr>
              <w:t>年度第</w:t>
            </w:r>
            <w:r w:rsidR="007E5E8D">
              <w:rPr>
                <w:rFonts w:ascii="標楷體" w:eastAsia="標楷體" w:hAnsi="標楷體" w:hint="eastAsia"/>
                <w:b/>
                <w:color w:val="000000"/>
                <w:sz w:val="32"/>
                <w:szCs w:val="32"/>
              </w:rPr>
              <w:t>1</w:t>
            </w:r>
            <w:r w:rsidRPr="00A41B28">
              <w:rPr>
                <w:rFonts w:ascii="標楷體" w:eastAsia="標楷體" w:hAnsi="標楷體" w:hint="eastAsia"/>
                <w:b/>
                <w:color w:val="000000"/>
                <w:sz w:val="32"/>
                <w:szCs w:val="32"/>
              </w:rPr>
              <w:t>次公告偏遠地區學校</w:t>
            </w:r>
          </w:p>
          <w:p w:rsidR="00EA3367" w:rsidRDefault="00A41B28" w:rsidP="00EA3367">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w:t>
            </w:r>
            <w:r w:rsidR="00EA3367">
              <w:rPr>
                <w:rFonts w:ascii="標楷體" w:eastAsia="標楷體" w:hAnsi="標楷體" w:hint="eastAsia"/>
                <w:b/>
                <w:color w:val="000000"/>
                <w:sz w:val="32"/>
                <w:szCs w:val="32"/>
              </w:rPr>
              <w:t>平和國中、</w:t>
            </w:r>
            <w:r w:rsidRPr="00A41B28">
              <w:rPr>
                <w:rFonts w:ascii="標楷體" w:eastAsia="標楷體" w:hAnsi="標楷體" w:hint="eastAsia"/>
                <w:b/>
                <w:color w:val="000000"/>
                <w:sz w:val="32"/>
                <w:szCs w:val="32"/>
              </w:rPr>
              <w:t>萬榮國中、三民國中、玉東國中及富里國中)</w:t>
            </w:r>
          </w:p>
          <w:p w:rsidR="007F5108" w:rsidRPr="00EA3367" w:rsidRDefault="007F5108" w:rsidP="00EA3367">
            <w:pPr>
              <w:spacing w:line="360" w:lineRule="auto"/>
              <w:jc w:val="center"/>
              <w:rPr>
                <w:rFonts w:ascii="標楷體" w:eastAsia="標楷體" w:hAnsi="標楷體"/>
                <w:b/>
                <w:color w:val="000000"/>
                <w:sz w:val="32"/>
                <w:szCs w:val="32"/>
              </w:rPr>
            </w:pPr>
            <w:r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w:t>
            </w:r>
            <w:r w:rsidR="007E5E8D">
              <w:rPr>
                <w:rFonts w:eastAsia="標楷體" w:hAnsi="標楷體" w:hint="eastAsia"/>
                <w:color w:val="000000"/>
                <w:sz w:val="36"/>
                <w:szCs w:val="36"/>
              </w:rPr>
              <w:t>1</w:t>
            </w:r>
            <w:r w:rsidR="007F5108" w:rsidRPr="005513B5">
              <w:rPr>
                <w:rFonts w:eastAsia="標楷體" w:hAnsi="標楷體" w:hint="eastAsia"/>
                <w:color w:val="000000"/>
                <w:sz w:val="36"/>
                <w:szCs w:val="36"/>
              </w:rPr>
              <w:t>年</w:t>
            </w:r>
            <w:r w:rsidR="006F53AD">
              <w:rPr>
                <w:rFonts w:eastAsia="標楷體" w:hAnsi="標楷體" w:hint="eastAsia"/>
                <w:color w:val="000000"/>
                <w:sz w:val="36"/>
                <w:szCs w:val="36"/>
              </w:rPr>
              <w:t>1</w:t>
            </w:r>
            <w:r w:rsidR="007F5108" w:rsidRPr="005513B5">
              <w:rPr>
                <w:rFonts w:eastAsia="標楷體" w:hAnsi="標楷體" w:hint="eastAsia"/>
                <w:color w:val="000000"/>
                <w:sz w:val="36"/>
                <w:szCs w:val="36"/>
              </w:rPr>
              <w:t>月</w:t>
            </w:r>
            <w:r w:rsidR="006F53AD">
              <w:rPr>
                <w:rFonts w:eastAsia="標楷體" w:hAnsi="標楷體" w:hint="eastAsia"/>
                <w:color w:val="000000"/>
                <w:sz w:val="36"/>
                <w:szCs w:val="36"/>
              </w:rPr>
              <w:t>1</w:t>
            </w:r>
            <w:r w:rsidR="007E5E8D">
              <w:rPr>
                <w:rFonts w:eastAsia="標楷體" w:hAnsi="標楷體" w:hint="eastAsia"/>
                <w:color w:val="000000"/>
                <w:sz w:val="36"/>
                <w:szCs w:val="36"/>
              </w:rPr>
              <w:t>4</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專業輔導人員有下列情事之一者，學校及各該主管機關應予解聘：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四、曾犯性侵害犯罪防治法第二條第一項所定之罪，經有罪判決確定。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會調查確認有性騷擾或性霸凌行為，且情節重大。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十三、體罰或霸凌學生，造成其身心嚴重侵害。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情事者，於該議決一年至四年不得聘用期間，亦同。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款規定情事，除依前二項規定辦理外，並應準用不適任教育人員之通報與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99" w:rsidRDefault="00D77399">
      <w:pPr>
        <w:spacing w:line="240" w:lineRule="auto"/>
      </w:pPr>
      <w:r>
        <w:separator/>
      </w:r>
    </w:p>
  </w:endnote>
  <w:endnote w:type="continuationSeparator" w:id="0">
    <w:p w:rsidR="00D77399" w:rsidRDefault="00D77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7751E4">
      <w:rPr>
        <w:rStyle w:val="a3"/>
        <w:noProof/>
      </w:rPr>
      <w:t>2</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99" w:rsidRDefault="00D77399">
      <w:pPr>
        <w:spacing w:line="240" w:lineRule="auto"/>
      </w:pPr>
      <w:r>
        <w:separator/>
      </w:r>
    </w:p>
  </w:footnote>
  <w:footnote w:type="continuationSeparator" w:id="0">
    <w:p w:rsidR="00D77399" w:rsidRDefault="00D773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25F7"/>
    <w:rsid w:val="00105C7B"/>
    <w:rsid w:val="00116FFC"/>
    <w:rsid w:val="001178F6"/>
    <w:rsid w:val="00124835"/>
    <w:rsid w:val="00127F4D"/>
    <w:rsid w:val="0013242C"/>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18E9"/>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F53AD"/>
    <w:rsid w:val="006F78B7"/>
    <w:rsid w:val="006F7921"/>
    <w:rsid w:val="00702E41"/>
    <w:rsid w:val="007108C0"/>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72D59"/>
    <w:rsid w:val="00773164"/>
    <w:rsid w:val="007751E4"/>
    <w:rsid w:val="0079146F"/>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5DAA"/>
    <w:rsid w:val="00C07144"/>
    <w:rsid w:val="00C10325"/>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4C1C"/>
    <w:rsid w:val="00F950A3"/>
    <w:rsid w:val="00FA1006"/>
    <w:rsid w:val="00FA4297"/>
    <w:rsid w:val="00FB0C79"/>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3096</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3631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2021-12-30T07:00:00Z</cp:lastPrinted>
  <dcterms:created xsi:type="dcterms:W3CDTF">2021-12-30T07:05:00Z</dcterms:created>
  <dcterms:modified xsi:type="dcterms:W3CDTF">2021-12-30T07:05:00Z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