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15C10" w:rsidRDefault="00757907">
      <w:pPr>
        <w:shd w:val="clear" w:color="auto" w:fill="FFFFFF"/>
        <w:spacing w:before="120" w:after="120" w:line="24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110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學年度東華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大學駐地教育家教師社群工作坊實施計畫</w:t>
      </w:r>
    </w:p>
    <w:p w14:paraId="00000002" w14:textId="77777777" w:rsidR="00615C10" w:rsidRDefault="00757907">
      <w:pPr>
        <w:shd w:val="clear" w:color="auto" w:fill="FFFFFF"/>
        <w:spacing w:before="120" w:after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　　東華大學致力於連結全國資源，目前各種駐校專家成為本校重要特色，為了進一步深入在地、帶動地方教育發展，</w:t>
      </w:r>
      <w:r>
        <w:rPr>
          <w:rFonts w:ascii="標楷體" w:eastAsia="標楷體" w:hAnsi="標楷體" w:cs="標楷體"/>
          <w:sz w:val="24"/>
          <w:szCs w:val="24"/>
        </w:rPr>
        <w:t>110</w:t>
      </w:r>
      <w:r>
        <w:rPr>
          <w:rFonts w:ascii="標楷體" w:eastAsia="標楷體" w:hAnsi="標楷體" w:cs="標楷體"/>
          <w:sz w:val="24"/>
          <w:szCs w:val="24"/>
        </w:rPr>
        <w:t>學年度持續以全國獨創之「駐地教育家」做為大學在地社會責任的參與，聘請兼具影響力及創新力之教育家駐點，為花蓮地區幼兒園引進能改變學前教育之教學理念及做法，並長期陪伴一線教保服務人員成長。幼兒與生活環境的互動，形塑了幼兒心智能力，為顧及幼兒全人發展及其所處在地文化環境的價值體系，特規劃以教育家入園輔導、辦理研習，帶領在地幼兒園組織、幼教老師、教保員與師資培育生學習如何設計在地化幼兒語文及數學教育課程，</w:t>
      </w:r>
      <w:r>
        <w:rPr>
          <w:rFonts w:ascii="標楷體" w:eastAsia="標楷體" w:hAnsi="標楷體" w:cs="標楷體"/>
          <w:sz w:val="24"/>
          <w:szCs w:val="24"/>
        </w:rPr>
        <w:t>延伸教育家之影響力及本校的在地實踐力。</w:t>
      </w:r>
    </w:p>
    <w:p w14:paraId="00000003" w14:textId="162F10F4" w:rsidR="00615C10" w:rsidRPr="00757907" w:rsidRDefault="00757907" w:rsidP="00757907">
      <w:pPr>
        <w:pStyle w:val="a5"/>
        <w:numPr>
          <w:ilvl w:val="0"/>
          <w:numId w:val="2"/>
        </w:numPr>
        <w:shd w:val="clear" w:color="auto" w:fill="FFFFFF"/>
        <w:spacing w:before="120" w:after="120" w:line="240" w:lineRule="auto"/>
        <w:ind w:leftChars="0"/>
        <w:rPr>
          <w:rFonts w:ascii="標楷體" w:eastAsia="標楷體" w:hAnsi="標楷體" w:cs="標楷體"/>
          <w:b/>
          <w:sz w:val="24"/>
          <w:szCs w:val="24"/>
        </w:rPr>
      </w:pPr>
      <w:bookmarkStart w:id="0" w:name="_GoBack"/>
      <w:bookmarkEnd w:id="0"/>
      <w:r w:rsidRPr="00757907">
        <w:rPr>
          <w:rFonts w:ascii="標楷體" w:eastAsia="標楷體" w:hAnsi="標楷體" w:cs="標楷體"/>
          <w:b/>
          <w:sz w:val="24"/>
          <w:szCs w:val="24"/>
        </w:rPr>
        <w:t>辦理時程</w:t>
      </w:r>
    </w:p>
    <w:p w14:paraId="00000004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11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03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16</w:t>
      </w:r>
      <w:r>
        <w:rPr>
          <w:rFonts w:ascii="標楷體" w:eastAsia="標楷體" w:hAnsi="標楷體" w:cs="標楷體"/>
          <w:sz w:val="24"/>
          <w:szCs w:val="24"/>
        </w:rPr>
        <w:t>日（三）</w:t>
      </w:r>
      <w:r>
        <w:rPr>
          <w:rFonts w:ascii="標楷體" w:eastAsia="標楷體" w:hAnsi="標楷體" w:cs="標楷體"/>
          <w:sz w:val="24"/>
          <w:szCs w:val="24"/>
        </w:rPr>
        <w:t>17</w:t>
      </w:r>
      <w:r>
        <w:rPr>
          <w:rFonts w:ascii="標楷體" w:eastAsia="標楷體" w:hAnsi="標楷體" w:cs="標楷體"/>
          <w:sz w:val="24"/>
          <w:szCs w:val="24"/>
        </w:rPr>
        <w:t>點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分至</w:t>
      </w:r>
      <w:r>
        <w:rPr>
          <w:rFonts w:ascii="標楷體" w:eastAsia="標楷體" w:hAnsi="標楷體" w:cs="標楷體"/>
          <w:sz w:val="24"/>
          <w:szCs w:val="24"/>
        </w:rPr>
        <w:t>20</w:t>
      </w:r>
      <w:r>
        <w:rPr>
          <w:rFonts w:ascii="標楷體" w:eastAsia="標楷體" w:hAnsi="標楷體" w:cs="標楷體"/>
          <w:sz w:val="24"/>
          <w:szCs w:val="24"/>
        </w:rPr>
        <w:t>點</w:t>
      </w:r>
      <w:r>
        <w:rPr>
          <w:rFonts w:ascii="標楷體" w:eastAsia="標楷體" w:hAnsi="標楷體" w:cs="標楷體"/>
          <w:sz w:val="24"/>
          <w:szCs w:val="24"/>
        </w:rPr>
        <w:t>00</w:t>
      </w:r>
      <w:r>
        <w:rPr>
          <w:rFonts w:ascii="標楷體" w:eastAsia="標楷體" w:hAnsi="標楷體" w:cs="標楷體"/>
          <w:sz w:val="24"/>
          <w:szCs w:val="24"/>
        </w:rPr>
        <w:t>分；</w:t>
      </w:r>
    </w:p>
    <w:p w14:paraId="00000005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111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04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13</w:t>
      </w:r>
      <w:r>
        <w:rPr>
          <w:rFonts w:ascii="標楷體" w:eastAsia="標楷體" w:hAnsi="標楷體" w:cs="標楷體"/>
          <w:sz w:val="24"/>
          <w:szCs w:val="24"/>
        </w:rPr>
        <w:t>日（三）</w:t>
      </w:r>
      <w:r>
        <w:rPr>
          <w:rFonts w:ascii="標楷體" w:eastAsia="標楷體" w:hAnsi="標楷體" w:cs="標楷體"/>
          <w:sz w:val="24"/>
          <w:szCs w:val="24"/>
        </w:rPr>
        <w:t>17</w:t>
      </w:r>
      <w:r>
        <w:rPr>
          <w:rFonts w:ascii="標楷體" w:eastAsia="標楷體" w:hAnsi="標楷體" w:cs="標楷體"/>
          <w:sz w:val="24"/>
          <w:szCs w:val="24"/>
        </w:rPr>
        <w:t>點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分至</w:t>
      </w:r>
      <w:r>
        <w:rPr>
          <w:rFonts w:ascii="標楷體" w:eastAsia="標楷體" w:hAnsi="標楷體" w:cs="標楷體"/>
          <w:sz w:val="24"/>
          <w:szCs w:val="24"/>
        </w:rPr>
        <w:t>20</w:t>
      </w:r>
      <w:r>
        <w:rPr>
          <w:rFonts w:ascii="標楷體" w:eastAsia="標楷體" w:hAnsi="標楷體" w:cs="標楷體"/>
          <w:sz w:val="24"/>
          <w:szCs w:val="24"/>
        </w:rPr>
        <w:t>點</w:t>
      </w:r>
      <w:r>
        <w:rPr>
          <w:rFonts w:ascii="標楷體" w:eastAsia="標楷體" w:hAnsi="標楷體" w:cs="標楷體"/>
          <w:sz w:val="24"/>
          <w:szCs w:val="24"/>
        </w:rPr>
        <w:t>00</w:t>
      </w:r>
      <w:r>
        <w:rPr>
          <w:rFonts w:ascii="標楷體" w:eastAsia="標楷體" w:hAnsi="標楷體" w:cs="標楷體"/>
          <w:sz w:val="24"/>
          <w:szCs w:val="24"/>
        </w:rPr>
        <w:t>分；</w:t>
      </w:r>
    </w:p>
    <w:p w14:paraId="00000006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111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05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11</w:t>
      </w:r>
      <w:r>
        <w:rPr>
          <w:rFonts w:ascii="標楷體" w:eastAsia="標楷體" w:hAnsi="標楷體" w:cs="標楷體"/>
          <w:sz w:val="24"/>
          <w:szCs w:val="24"/>
        </w:rPr>
        <w:t>日（三）</w:t>
      </w:r>
      <w:r>
        <w:rPr>
          <w:rFonts w:ascii="標楷體" w:eastAsia="標楷體" w:hAnsi="標楷體" w:cs="標楷體"/>
          <w:sz w:val="24"/>
          <w:szCs w:val="24"/>
        </w:rPr>
        <w:t>17</w:t>
      </w:r>
      <w:r>
        <w:rPr>
          <w:rFonts w:ascii="標楷體" w:eastAsia="標楷體" w:hAnsi="標楷體" w:cs="標楷體"/>
          <w:sz w:val="24"/>
          <w:szCs w:val="24"/>
        </w:rPr>
        <w:t>點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分至</w:t>
      </w:r>
      <w:r>
        <w:rPr>
          <w:rFonts w:ascii="標楷體" w:eastAsia="標楷體" w:hAnsi="標楷體" w:cs="標楷體"/>
          <w:sz w:val="24"/>
          <w:szCs w:val="24"/>
        </w:rPr>
        <w:t>20</w:t>
      </w:r>
      <w:r>
        <w:rPr>
          <w:rFonts w:ascii="標楷體" w:eastAsia="標楷體" w:hAnsi="標楷體" w:cs="標楷體"/>
          <w:sz w:val="24"/>
          <w:szCs w:val="24"/>
        </w:rPr>
        <w:t>點</w:t>
      </w:r>
      <w:r>
        <w:rPr>
          <w:rFonts w:ascii="標楷體" w:eastAsia="標楷體" w:hAnsi="標楷體" w:cs="標楷體"/>
          <w:sz w:val="24"/>
          <w:szCs w:val="24"/>
        </w:rPr>
        <w:t>00</w:t>
      </w:r>
      <w:r>
        <w:rPr>
          <w:rFonts w:ascii="標楷體" w:eastAsia="標楷體" w:hAnsi="標楷體" w:cs="標楷體"/>
          <w:sz w:val="24"/>
          <w:szCs w:val="24"/>
        </w:rPr>
        <w:t>分；</w:t>
      </w:r>
    </w:p>
    <w:p w14:paraId="00000007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111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06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22</w:t>
      </w:r>
      <w:r>
        <w:rPr>
          <w:rFonts w:ascii="標楷體" w:eastAsia="標楷體" w:hAnsi="標楷體" w:cs="標楷體"/>
          <w:sz w:val="24"/>
          <w:szCs w:val="24"/>
        </w:rPr>
        <w:t>日（三）</w:t>
      </w:r>
      <w:r>
        <w:rPr>
          <w:rFonts w:ascii="標楷體" w:eastAsia="標楷體" w:hAnsi="標楷體" w:cs="標楷體"/>
          <w:sz w:val="24"/>
          <w:szCs w:val="24"/>
        </w:rPr>
        <w:t>17</w:t>
      </w:r>
      <w:r>
        <w:rPr>
          <w:rFonts w:ascii="標楷體" w:eastAsia="標楷體" w:hAnsi="標楷體" w:cs="標楷體"/>
          <w:sz w:val="24"/>
          <w:szCs w:val="24"/>
        </w:rPr>
        <w:t>點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分至</w:t>
      </w:r>
      <w:r>
        <w:rPr>
          <w:rFonts w:ascii="標楷體" w:eastAsia="標楷體" w:hAnsi="標楷體" w:cs="標楷體"/>
          <w:sz w:val="24"/>
          <w:szCs w:val="24"/>
        </w:rPr>
        <w:t>20</w:t>
      </w:r>
      <w:r>
        <w:rPr>
          <w:rFonts w:ascii="標楷體" w:eastAsia="標楷體" w:hAnsi="標楷體" w:cs="標楷體"/>
          <w:sz w:val="24"/>
          <w:szCs w:val="24"/>
        </w:rPr>
        <w:t>點</w:t>
      </w:r>
      <w:r>
        <w:rPr>
          <w:rFonts w:ascii="標楷體" w:eastAsia="標楷體" w:hAnsi="標楷體" w:cs="標楷體"/>
          <w:sz w:val="24"/>
          <w:szCs w:val="24"/>
        </w:rPr>
        <w:t>00</w:t>
      </w:r>
      <w:r>
        <w:rPr>
          <w:rFonts w:ascii="標楷體" w:eastAsia="標楷體" w:hAnsi="標楷體" w:cs="標楷體"/>
          <w:sz w:val="24"/>
          <w:szCs w:val="24"/>
        </w:rPr>
        <w:t>分。</w:t>
      </w:r>
    </w:p>
    <w:p w14:paraId="00000008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暑期及九月成果發表會日期將於社群內部協調。</w:t>
      </w:r>
    </w:p>
    <w:p w14:paraId="00000009" w14:textId="77777777" w:rsidR="00615C10" w:rsidRDefault="00757907">
      <w:pPr>
        <w:shd w:val="clear" w:color="auto" w:fill="FFFFFF"/>
        <w:spacing w:before="120" w:after="120" w:line="24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貳、駐地教育家幸</w:t>
      </w:r>
      <w:proofErr w:type="gramStart"/>
      <w:r>
        <w:rPr>
          <w:rFonts w:ascii="標楷體" w:eastAsia="標楷體" w:hAnsi="標楷體" w:cs="標楷體"/>
          <w:b/>
          <w:sz w:val="24"/>
          <w:szCs w:val="24"/>
        </w:rPr>
        <w:t>曼</w:t>
      </w:r>
      <w:proofErr w:type="gramEnd"/>
      <w:r>
        <w:rPr>
          <w:rFonts w:ascii="標楷體" w:eastAsia="標楷體" w:hAnsi="標楷體" w:cs="標楷體"/>
          <w:b/>
          <w:sz w:val="24"/>
          <w:szCs w:val="24"/>
        </w:rPr>
        <w:t>玲簡介</w:t>
      </w:r>
    </w:p>
    <w:p w14:paraId="0000000A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臺北市立大學幼兒教育學系退休，曾任教育部國教署「幼兒園教保活動課程大綱」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研</w:t>
      </w:r>
      <w:proofErr w:type="gramEnd"/>
      <w:r>
        <w:rPr>
          <w:rFonts w:ascii="標楷體" w:eastAsia="標楷體" w:hAnsi="標楷體" w:cs="標楷體"/>
          <w:sz w:val="24"/>
          <w:szCs w:val="24"/>
        </w:rPr>
        <w:t>編小組主持人，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研</w:t>
      </w:r>
      <w:proofErr w:type="gramEnd"/>
      <w:r>
        <w:rPr>
          <w:rFonts w:ascii="標楷體" w:eastAsia="標楷體" w:hAnsi="標楷體" w:cs="標楷體"/>
          <w:sz w:val="24"/>
          <w:szCs w:val="24"/>
        </w:rPr>
        <w:t>編、輔導、推廣以幼兒生活經驗為主體之學前教育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新課綱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，於幼教政策制定與教育現場執</w:t>
      </w:r>
      <w:r>
        <w:rPr>
          <w:rFonts w:ascii="標楷體" w:eastAsia="標楷體" w:hAnsi="標楷體" w:cs="標楷體"/>
          <w:sz w:val="24"/>
          <w:szCs w:val="24"/>
        </w:rPr>
        <w:t>行皆有長期且深入的耕耘。</w:t>
      </w:r>
    </w:p>
    <w:p w14:paraId="0000000B" w14:textId="77777777" w:rsidR="00615C10" w:rsidRDefault="00757907">
      <w:pPr>
        <w:shd w:val="clear" w:color="auto" w:fill="FFFFFF"/>
        <w:spacing w:before="120" w:after="120" w:line="24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參、著作清單</w:t>
      </w:r>
    </w:p>
    <w:p w14:paraId="0000000C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·</w:t>
      </w:r>
      <w:r>
        <w:rPr>
          <w:rFonts w:ascii="標楷體" w:eastAsia="標楷體" w:hAnsi="標楷體" w:cs="標楷體"/>
          <w:sz w:val="24"/>
          <w:szCs w:val="24"/>
        </w:rPr>
        <w:t>《用策略培養</w:t>
      </w:r>
      <w:r>
        <w:rPr>
          <w:rFonts w:ascii="標楷體" w:eastAsia="標楷體" w:hAnsi="標楷體" w:cs="標楷體"/>
          <w:sz w:val="24"/>
          <w:szCs w:val="24"/>
        </w:rPr>
        <w:t xml:space="preserve"> A2 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小孩</w:t>
      </w:r>
      <w:r>
        <w:rPr>
          <w:rFonts w:ascii="標楷體" w:eastAsia="標楷體" w:hAnsi="標楷體" w:cs="標楷體"/>
          <w:sz w:val="24"/>
          <w:szCs w:val="24"/>
        </w:rPr>
        <w:t>:</w:t>
      </w:r>
      <w:r>
        <w:rPr>
          <w:rFonts w:ascii="標楷體" w:eastAsia="標楷體" w:hAnsi="標楷體" w:cs="標楷體"/>
          <w:sz w:val="24"/>
          <w:szCs w:val="24"/>
        </w:rPr>
        <w:t>以閱讀理解策略培養有能力主動閱讀的小孩</w:t>
      </w:r>
      <w:proofErr w:type="gramEnd"/>
      <w:r>
        <w:rPr>
          <w:rFonts w:ascii="標楷體" w:eastAsia="標楷體" w:hAnsi="標楷體" w:cs="標楷體"/>
          <w:sz w:val="24"/>
          <w:szCs w:val="24"/>
        </w:rPr>
        <w:t>》（社團法人台灣兒童閱讀學會）</w:t>
      </w:r>
    </w:p>
    <w:p w14:paraId="0000000D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·</w:t>
      </w:r>
      <w:r>
        <w:rPr>
          <w:rFonts w:ascii="標楷體" w:eastAsia="標楷體" w:hAnsi="標楷體" w:cs="標楷體"/>
          <w:sz w:val="24"/>
          <w:szCs w:val="24"/>
        </w:rPr>
        <w:t>《閱讀理解策略教學手冊》（教育部）</w:t>
      </w:r>
    </w:p>
    <w:p w14:paraId="0000000E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·</w:t>
      </w:r>
      <w:r>
        <w:rPr>
          <w:rFonts w:ascii="標楷體" w:eastAsia="標楷體" w:hAnsi="標楷體" w:cs="標楷體"/>
          <w:sz w:val="24"/>
          <w:szCs w:val="24"/>
        </w:rPr>
        <w:t>《幼兒園教保活動課程大綱的實踐：以臺北市立南海實驗幼兒園方案教學為例》（心理出版）</w:t>
      </w:r>
    </w:p>
    <w:p w14:paraId="0000000F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sz w:val="24"/>
          <w:szCs w:val="24"/>
        </w:rPr>
        <w:t>·</w:t>
      </w:r>
      <w:r>
        <w:rPr>
          <w:rFonts w:ascii="標楷體" w:eastAsia="標楷體" w:hAnsi="標楷體" w:cs="標楷體"/>
          <w:sz w:val="24"/>
          <w:szCs w:val="24"/>
        </w:rPr>
        <w:t>《新課綱想說的事：幼兒園教保活動課程大綱的理念與發展》（心理出版）</w:t>
      </w:r>
    </w:p>
    <w:p w14:paraId="00000010" w14:textId="77777777" w:rsidR="00615C10" w:rsidRDefault="00757907">
      <w:pPr>
        <w:shd w:val="clear" w:color="auto" w:fill="FFFFFF"/>
        <w:spacing w:before="120" w:after="120" w:line="24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肆、駐地教育家之研習實施辦法</w:t>
      </w:r>
    </w:p>
    <w:p w14:paraId="00000011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新課綱研</w:t>
      </w:r>
      <w:proofErr w:type="gramEnd"/>
      <w:r>
        <w:rPr>
          <w:rFonts w:ascii="標楷體" w:eastAsia="標楷體" w:hAnsi="標楷體" w:cs="標楷體"/>
          <w:sz w:val="24"/>
          <w:szCs w:val="24"/>
        </w:rPr>
        <w:t>編小組召集人幸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曼</w:t>
      </w:r>
      <w:proofErr w:type="gramEnd"/>
      <w:r>
        <w:rPr>
          <w:rFonts w:ascii="標楷體" w:eastAsia="標楷體" w:hAnsi="標楷體" w:cs="標楷體"/>
          <w:sz w:val="24"/>
          <w:szCs w:val="24"/>
        </w:rPr>
        <w:t>玲教授，長期耕耘幼兒學前教育之理論與實務面，將辦理花蓮教師社群系列工作坊，與在地教保專業人員每月定期討論教學問題、觀察、實</w:t>
      </w:r>
      <w:r>
        <w:rPr>
          <w:rFonts w:ascii="標楷體" w:eastAsia="標楷體" w:hAnsi="標楷體" w:cs="標楷體"/>
          <w:sz w:val="24"/>
          <w:szCs w:val="24"/>
        </w:rPr>
        <w:t>作及修正，發展出適合花蓮的教學案例及特色。工作坊為五至六次的討論會，並將於九月攜手分享成果。社群教師有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機會與幸老師</w:t>
      </w:r>
      <w:proofErr w:type="gramEnd"/>
      <w:r>
        <w:rPr>
          <w:rFonts w:ascii="標楷體" w:eastAsia="標楷體" w:hAnsi="標楷體" w:cs="標楷體"/>
          <w:sz w:val="24"/>
          <w:szCs w:val="24"/>
        </w:rPr>
        <w:t>深度討論教學，並發展對認知取向課程的認識，有效轉化學習活動，促進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新課綱</w:t>
      </w:r>
      <w:proofErr w:type="gramEnd"/>
      <w:r>
        <w:rPr>
          <w:rFonts w:ascii="標楷體" w:eastAsia="標楷體" w:hAnsi="標楷體" w:cs="標楷體"/>
          <w:sz w:val="24"/>
          <w:szCs w:val="24"/>
        </w:rPr>
        <w:t>精神的在地化。</w:t>
      </w:r>
    </w:p>
    <w:p w14:paraId="00000012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二、工作坊場次：</w:t>
      </w:r>
      <w:r>
        <w:rPr>
          <w:rFonts w:ascii="標楷體" w:eastAsia="標楷體" w:hAnsi="標楷體" w:cs="標楷體"/>
          <w:sz w:val="24"/>
          <w:szCs w:val="24"/>
        </w:rPr>
        <w:t xml:space="preserve"> 03/16 (</w:t>
      </w:r>
      <w:r>
        <w:rPr>
          <w:rFonts w:ascii="標楷體" w:eastAsia="標楷體" w:hAnsi="標楷體" w:cs="標楷體"/>
          <w:sz w:val="24"/>
          <w:szCs w:val="24"/>
        </w:rPr>
        <w:t>三</w:t>
      </w:r>
      <w:r>
        <w:rPr>
          <w:rFonts w:ascii="標楷體" w:eastAsia="標楷體" w:hAnsi="標楷體" w:cs="標楷體"/>
          <w:sz w:val="24"/>
          <w:szCs w:val="24"/>
        </w:rPr>
        <w:t xml:space="preserve">) 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04/13 (</w:t>
      </w:r>
      <w:r>
        <w:rPr>
          <w:rFonts w:ascii="標楷體" w:eastAsia="標楷體" w:hAnsi="標楷體" w:cs="標楷體"/>
          <w:sz w:val="24"/>
          <w:szCs w:val="24"/>
        </w:rPr>
        <w:t>三</w:t>
      </w:r>
      <w:r>
        <w:rPr>
          <w:rFonts w:ascii="標楷體" w:eastAsia="標楷體" w:hAnsi="標楷體" w:cs="標楷體"/>
          <w:sz w:val="24"/>
          <w:szCs w:val="24"/>
        </w:rPr>
        <w:t xml:space="preserve">) 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05/11 (</w:t>
      </w:r>
      <w:r>
        <w:rPr>
          <w:rFonts w:ascii="標楷體" w:eastAsia="標楷體" w:hAnsi="標楷體" w:cs="標楷體"/>
          <w:sz w:val="24"/>
          <w:szCs w:val="24"/>
        </w:rPr>
        <w:t>三</w:t>
      </w:r>
      <w:r>
        <w:rPr>
          <w:rFonts w:ascii="標楷體" w:eastAsia="標楷體" w:hAnsi="標楷體" w:cs="標楷體"/>
          <w:sz w:val="24"/>
          <w:szCs w:val="24"/>
        </w:rPr>
        <w:t xml:space="preserve">) 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06/22 (</w:t>
      </w:r>
      <w:r>
        <w:rPr>
          <w:rFonts w:ascii="標楷體" w:eastAsia="標楷體" w:hAnsi="標楷體" w:cs="標楷體"/>
          <w:sz w:val="24"/>
          <w:szCs w:val="24"/>
        </w:rPr>
        <w:t>三</w:t>
      </w:r>
      <w:r>
        <w:rPr>
          <w:rFonts w:ascii="標楷體" w:eastAsia="標楷體" w:hAnsi="標楷體" w:cs="標楷體"/>
          <w:sz w:val="24"/>
          <w:szCs w:val="24"/>
        </w:rPr>
        <w:t>)  17</w:t>
      </w:r>
      <w:r>
        <w:rPr>
          <w:rFonts w:ascii="標楷體" w:eastAsia="標楷體" w:hAnsi="標楷體" w:cs="標楷體"/>
          <w:sz w:val="24"/>
          <w:szCs w:val="24"/>
        </w:rPr>
        <w:t>時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分至</w:t>
      </w:r>
      <w:r>
        <w:rPr>
          <w:rFonts w:ascii="標楷體" w:eastAsia="標楷體" w:hAnsi="標楷體" w:cs="標楷體"/>
          <w:sz w:val="24"/>
          <w:szCs w:val="24"/>
        </w:rPr>
        <w:t>20</w:t>
      </w:r>
      <w:r>
        <w:rPr>
          <w:rFonts w:ascii="標楷體" w:eastAsia="標楷體" w:hAnsi="標楷體" w:cs="標楷體"/>
          <w:sz w:val="24"/>
          <w:szCs w:val="24"/>
        </w:rPr>
        <w:t>時</w:t>
      </w:r>
      <w:r>
        <w:rPr>
          <w:rFonts w:ascii="標楷體" w:eastAsia="標楷體" w:hAnsi="標楷體" w:cs="標楷體"/>
          <w:sz w:val="24"/>
          <w:szCs w:val="24"/>
        </w:rPr>
        <w:t>00</w:t>
      </w:r>
      <w:r>
        <w:rPr>
          <w:rFonts w:ascii="標楷體" w:eastAsia="標楷體" w:hAnsi="標楷體" w:cs="標楷體"/>
          <w:sz w:val="24"/>
          <w:szCs w:val="24"/>
        </w:rPr>
        <w:t>分，每場次</w:t>
      </w:r>
      <w:r>
        <w:rPr>
          <w:rFonts w:ascii="標楷體" w:eastAsia="標楷體" w:hAnsi="標楷體" w:cs="標楷體"/>
          <w:sz w:val="24"/>
          <w:szCs w:val="24"/>
        </w:rPr>
        <w:t>2.5</w:t>
      </w:r>
      <w:r>
        <w:rPr>
          <w:rFonts w:ascii="標楷體" w:eastAsia="標楷體" w:hAnsi="標楷體" w:cs="標楷體"/>
          <w:sz w:val="24"/>
          <w:szCs w:val="24"/>
        </w:rPr>
        <w:t>小時，另暑期及九月成果發表會日期將於社群內部協調，請務必全程參與。</w:t>
      </w:r>
    </w:p>
    <w:p w14:paraId="00000013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三、本縣幼兒園教師均可申請參加，即日起開放報名至</w:t>
      </w:r>
      <w:r>
        <w:rPr>
          <w:rFonts w:ascii="標楷體" w:eastAsia="標楷體" w:hAnsi="標楷體" w:cs="標楷體"/>
          <w:sz w:val="24"/>
          <w:szCs w:val="24"/>
        </w:rPr>
        <w:t>111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02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28</w:t>
      </w:r>
      <w:r>
        <w:rPr>
          <w:rFonts w:ascii="標楷體" w:eastAsia="標楷體" w:hAnsi="標楷體" w:cs="標楷體"/>
          <w:sz w:val="24"/>
          <w:szCs w:val="24"/>
        </w:rPr>
        <w:t>日（一）。名額有限，將依報名順序</w:t>
      </w:r>
      <w:r>
        <w:rPr>
          <w:rFonts w:ascii="標楷體" w:eastAsia="標楷體" w:hAnsi="標楷體" w:cs="標楷體"/>
          <w:sz w:val="24"/>
          <w:szCs w:val="24"/>
        </w:rPr>
        <w:t>排序及候補。報名網址：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hyperlink r:id="rId5">
        <w:r>
          <w:rPr>
            <w:rFonts w:ascii="標楷體" w:eastAsia="標楷體" w:hAnsi="標楷體" w:cs="標楷體"/>
            <w:color w:val="0000FF"/>
            <w:sz w:val="24"/>
            <w:szCs w:val="24"/>
            <w:u w:val="single"/>
          </w:rPr>
          <w:t>https://forms.gle/5i6k8dnJiPMK1acj7</w:t>
        </w:r>
      </w:hyperlink>
    </w:p>
    <w:p w14:paraId="00000014" w14:textId="77777777" w:rsidR="00615C10" w:rsidRDefault="00615C10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</w:p>
    <w:p w14:paraId="00000015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四、報名須知：</w:t>
      </w:r>
    </w:p>
    <w:p w14:paraId="00000016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（一）系列工作坊將於東華大學</w:t>
      </w:r>
      <w:r>
        <w:rPr>
          <w:rFonts w:ascii="標楷體" w:eastAsia="標楷體" w:hAnsi="標楷體" w:cs="標楷體"/>
          <w:sz w:val="24"/>
          <w:szCs w:val="24"/>
        </w:rPr>
        <w:t>/</w:t>
      </w:r>
      <w:r>
        <w:rPr>
          <w:rFonts w:ascii="標楷體" w:eastAsia="標楷體" w:hAnsi="標楷體" w:cs="標楷體"/>
          <w:sz w:val="24"/>
          <w:szCs w:val="24"/>
        </w:rPr>
        <w:t>志學周邊進行，參與教師提供晚餐；惟因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疫</w:t>
      </w:r>
      <w:proofErr w:type="gramEnd"/>
      <w:r>
        <w:rPr>
          <w:rFonts w:ascii="標楷體" w:eastAsia="標楷體" w:hAnsi="標楷體" w:cs="標楷體"/>
          <w:sz w:val="24"/>
          <w:szCs w:val="24"/>
        </w:rPr>
        <w:t>情發展，主辦單位保留調整權利。</w:t>
      </w:r>
      <w:r>
        <w:rPr>
          <w:rFonts w:ascii="標楷體" w:eastAsia="標楷體" w:hAnsi="標楷體" w:cs="標楷體"/>
          <w:sz w:val="24"/>
          <w:szCs w:val="24"/>
        </w:rPr>
        <w:br/>
      </w:r>
      <w:r>
        <w:rPr>
          <w:rFonts w:ascii="標楷體" w:eastAsia="標楷體" w:hAnsi="標楷體" w:cs="標楷體"/>
          <w:sz w:val="24"/>
          <w:szCs w:val="24"/>
        </w:rPr>
        <w:t>（二）</w:t>
      </w:r>
      <w:r>
        <w:rPr>
          <w:rFonts w:ascii="標楷體" w:eastAsia="標楷體" w:hAnsi="標楷體" w:cs="標楷體"/>
          <w:sz w:val="24"/>
          <w:szCs w:val="24"/>
        </w:rPr>
        <w:t>3</w:t>
      </w:r>
      <w:r>
        <w:rPr>
          <w:rFonts w:ascii="標楷體" w:eastAsia="標楷體" w:hAnsi="標楷體" w:cs="標楷體"/>
          <w:sz w:val="24"/>
          <w:szCs w:val="24"/>
        </w:rPr>
        <w:t>月初將寄送錄取通知及參與須知，敬請確實填寫常用信箱，並留意來信。</w:t>
      </w:r>
    </w:p>
    <w:p w14:paraId="00000017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bookmarkStart w:id="2" w:name="_30j0zll" w:colFirst="0" w:colLast="0"/>
      <w:bookmarkEnd w:id="2"/>
      <w:r>
        <w:rPr>
          <w:rFonts w:ascii="標楷體" w:eastAsia="標楷體" w:hAnsi="標楷體" w:cs="標楷體"/>
          <w:sz w:val="24"/>
          <w:szCs w:val="24"/>
        </w:rPr>
        <w:t>五、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聯絡人：東華大學社會參與中心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黃小姐；</w:t>
      </w:r>
      <w:r>
        <w:rPr>
          <w:rFonts w:ascii="標楷體" w:eastAsia="標楷體" w:hAnsi="標楷體" w:cs="標楷體"/>
          <w:sz w:val="24"/>
          <w:szCs w:val="24"/>
        </w:rPr>
        <w:t>wancing-huang@gms.ndhu.edu.tw</w:t>
      </w:r>
      <w:r>
        <w:rPr>
          <w:rFonts w:ascii="標楷體" w:eastAsia="標楷體" w:hAnsi="標楷體" w:cs="標楷體"/>
          <w:sz w:val="24"/>
          <w:szCs w:val="24"/>
        </w:rPr>
        <w:t>；</w:t>
      </w:r>
      <w:r>
        <w:rPr>
          <w:rFonts w:ascii="標楷體" w:eastAsia="標楷體" w:hAnsi="標楷體" w:cs="標楷體"/>
          <w:sz w:val="24"/>
          <w:szCs w:val="24"/>
        </w:rPr>
        <w:t>(03) 890-5247</w:t>
      </w:r>
    </w:p>
    <w:p w14:paraId="00000018" w14:textId="77777777" w:rsidR="00615C10" w:rsidRDefault="00757907">
      <w:pPr>
        <w:shd w:val="clear" w:color="auto" w:fill="FFFFFF"/>
        <w:spacing w:before="120" w:after="120" w:line="240" w:lineRule="auto"/>
        <w:ind w:left="2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六、現場參與者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務請配</w:t>
      </w:r>
      <w:proofErr w:type="gramEnd"/>
      <w:r>
        <w:rPr>
          <w:rFonts w:ascii="標楷體" w:eastAsia="標楷體" w:hAnsi="標楷體" w:cs="標楷體"/>
          <w:sz w:val="24"/>
          <w:szCs w:val="24"/>
        </w:rPr>
        <w:t>戴口罩，入場前配合測量體溫及消毒手部，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如測得額溫</w:t>
      </w:r>
      <w:proofErr w:type="gramEnd"/>
      <w:r>
        <w:rPr>
          <w:rFonts w:ascii="標楷體" w:eastAsia="標楷體" w:hAnsi="標楷體" w:cs="標楷體"/>
          <w:sz w:val="24"/>
          <w:szCs w:val="24"/>
        </w:rPr>
        <w:t>37.5</w:t>
      </w:r>
      <w:r>
        <w:rPr>
          <w:rFonts w:ascii="標楷體" w:eastAsia="標楷體" w:hAnsi="標楷體" w:cs="標楷體"/>
          <w:sz w:val="24"/>
          <w:szCs w:val="24"/>
        </w:rPr>
        <w:t>度以上，主辦單位有權拒絕入場。</w:t>
      </w:r>
    </w:p>
    <w:p w14:paraId="00000019" w14:textId="77777777" w:rsidR="00615C10" w:rsidRDefault="00615C10">
      <w:pPr>
        <w:shd w:val="clear" w:color="auto" w:fill="FFFFFF"/>
        <w:spacing w:before="120" w:after="120" w:line="240" w:lineRule="auto"/>
        <w:rPr>
          <w:rFonts w:ascii="標楷體" w:eastAsia="標楷體" w:hAnsi="標楷體" w:cs="標楷體"/>
          <w:sz w:val="24"/>
          <w:szCs w:val="24"/>
        </w:rPr>
      </w:pPr>
    </w:p>
    <w:p w14:paraId="0000001A" w14:textId="77777777" w:rsidR="00615C10" w:rsidRDefault="00757907">
      <w:pPr>
        <w:shd w:val="clear" w:color="auto" w:fill="FFFFFF"/>
        <w:spacing w:before="120" w:after="120" w:line="24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伍、辦理單位</w:t>
      </w:r>
    </w:p>
    <w:p w14:paraId="0000001B" w14:textId="77777777" w:rsidR="00615C10" w:rsidRDefault="00757907">
      <w:pPr>
        <w:shd w:val="clear" w:color="auto" w:fill="FFFFFF"/>
        <w:spacing w:before="120" w:after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主辦單位：教育部大學社會責任計劃（</w:t>
      </w:r>
      <w:r>
        <w:rPr>
          <w:rFonts w:ascii="標楷體" w:eastAsia="標楷體" w:hAnsi="標楷體" w:cs="標楷體"/>
          <w:sz w:val="24"/>
          <w:szCs w:val="24"/>
        </w:rPr>
        <w:t>USR</w:t>
      </w:r>
      <w:r>
        <w:rPr>
          <w:rFonts w:ascii="標楷體" w:eastAsia="標楷體" w:hAnsi="標楷體" w:cs="標楷體"/>
          <w:sz w:val="24"/>
          <w:szCs w:val="24"/>
        </w:rPr>
        <w:t>）、國立東華大學社會參與中心、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花師教育學院</w:t>
      </w:r>
      <w:proofErr w:type="gramEnd"/>
      <w:r>
        <w:rPr>
          <w:rFonts w:ascii="標楷體" w:eastAsia="標楷體" w:hAnsi="標楷體" w:cs="標楷體"/>
          <w:sz w:val="24"/>
          <w:szCs w:val="24"/>
        </w:rPr>
        <w:t>、幼兒教育系、教育與潛能開發學系</w:t>
      </w:r>
    </w:p>
    <w:p w14:paraId="0000001C" w14:textId="77777777" w:rsidR="00615C10" w:rsidRDefault="00757907">
      <w:pPr>
        <w:shd w:val="clear" w:color="auto" w:fill="FFFFFF"/>
        <w:spacing w:before="120" w:after="120" w:line="240" w:lineRule="auto"/>
      </w:pPr>
      <w:r>
        <w:rPr>
          <w:rFonts w:ascii="標楷體" w:eastAsia="標楷體" w:hAnsi="標楷體" w:cs="標楷體"/>
          <w:sz w:val="24"/>
          <w:szCs w:val="24"/>
        </w:rPr>
        <w:t>協辦單位：花蓮縣教育處、花蓮縣志學國民小學暨附設幼兒園、花蓮縣壽豐鄉公所暨鄉立幼兒園</w:t>
      </w:r>
    </w:p>
    <w:sectPr w:rsidR="00615C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67D1"/>
    <w:multiLevelType w:val="hybridMultilevel"/>
    <w:tmpl w:val="25941FFE"/>
    <w:lvl w:ilvl="0" w:tplc="3BB8622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6C2024"/>
    <w:multiLevelType w:val="multilevel"/>
    <w:tmpl w:val="8C7847A2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0"/>
    <w:rsid w:val="00615C10"/>
    <w:rsid w:val="0075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4E0F"/>
  <w15:docId w15:val="{FDAF96E1-6B83-47D8-853A-2BD9AD1C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579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5i6k8dnJiPMK1acj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2022-02-10T02:39:00Z</dcterms:created>
  <dcterms:modified xsi:type="dcterms:W3CDTF">2022-02-10T02:39:00Z</dcterms:modified>
</cp:coreProperties>
</file>