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5F" w:rsidRPr="00B9129E" w:rsidRDefault="0064395F" w:rsidP="0064395F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bookmarkStart w:id="0" w:name="_GoBack"/>
      <w:bookmarkEnd w:id="0"/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花蓮縣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113</w:t>
      </w:r>
      <w:proofErr w:type="gramStart"/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學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國民中小學</w:t>
      </w:r>
    </w:p>
    <w:p w:rsidR="0064395F" w:rsidRPr="00B9129E" w:rsidRDefault="0064395F" w:rsidP="0064395F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品質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整體推動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計畫</w:t>
      </w:r>
    </w:p>
    <w:p w:rsidR="0064395F" w:rsidRPr="00B9129E" w:rsidRDefault="0064395F" w:rsidP="0064395F">
      <w:pPr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國民教育輔導團健康與體育學習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領域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輔導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小組</w:t>
      </w:r>
    </w:p>
    <w:p w:rsidR="0064395F" w:rsidRPr="00B9129E" w:rsidRDefault="0064395F" w:rsidP="0064395F">
      <w:pPr>
        <w:rPr>
          <w:rFonts w:ascii="標楷體" w:eastAsia="標楷體" w:hAnsi="標楷體"/>
          <w:b/>
          <w:color w:val="auto"/>
          <w:lang w:eastAsia="zh-TW"/>
        </w:rPr>
      </w:pPr>
      <w:proofErr w:type="gramStart"/>
      <w:r w:rsidRPr="00B9129E">
        <w:rPr>
          <w:rFonts w:ascii="標楷體" w:eastAsia="標楷體" w:hAnsi="標楷體" w:hint="eastAsia"/>
          <w:b/>
          <w:color w:val="auto"/>
          <w:lang w:eastAsia="zh-TW"/>
        </w:rPr>
        <w:t>國中健體領域</w:t>
      </w:r>
      <w:proofErr w:type="gramEnd"/>
      <w:r w:rsidRPr="00B9129E">
        <w:rPr>
          <w:rFonts w:ascii="標楷體" w:eastAsia="標楷體" w:hAnsi="標楷體" w:hint="eastAsia"/>
          <w:b/>
          <w:color w:val="auto"/>
          <w:lang w:eastAsia="zh-TW"/>
        </w:rPr>
        <w:t>輔導小組—「</w:t>
      </w:r>
      <w:r w:rsidRPr="00B9129E">
        <w:rPr>
          <w:rFonts w:ascii="標楷體" w:eastAsia="標楷體" w:hAnsi="標楷體" w:cs="標楷體"/>
          <w:b/>
          <w:color w:val="auto"/>
          <w:kern w:val="1"/>
          <w:lang w:eastAsia="zh-TW"/>
        </w:rPr>
        <w:t>全縣</w:t>
      </w:r>
      <w:proofErr w:type="gramStart"/>
      <w:r w:rsidRPr="00B9129E">
        <w:rPr>
          <w:rFonts w:ascii="標楷體" w:eastAsia="標楷體" w:hAnsi="標楷體" w:cs="標楷體"/>
          <w:b/>
          <w:color w:val="auto"/>
          <w:kern w:val="1"/>
          <w:lang w:eastAsia="zh-TW"/>
        </w:rPr>
        <w:t>國中健體領</w:t>
      </w:r>
      <w:proofErr w:type="gramEnd"/>
      <w:r w:rsidRPr="00B9129E">
        <w:rPr>
          <w:rFonts w:ascii="標楷體" w:eastAsia="標楷體" w:hAnsi="標楷體" w:cs="標楷體"/>
          <w:b/>
          <w:color w:val="auto"/>
          <w:kern w:val="1"/>
          <w:lang w:eastAsia="zh-TW"/>
        </w:rPr>
        <w:t>域召集人研習會議</w:t>
      </w:r>
      <w:r w:rsidRPr="00B9129E">
        <w:rPr>
          <w:rFonts w:ascii="標楷體" w:eastAsia="標楷體" w:hAnsi="標楷體" w:hint="eastAsia"/>
          <w:b/>
          <w:color w:val="auto"/>
          <w:lang w:eastAsia="zh-TW"/>
        </w:rPr>
        <w:t>」實施計畫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一、依據：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（一）教育部補助直轄市、縣(市)政府精進國民中學及國民小學教師教學專業與課程品質作業要點。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（二）花蓮縣</w:t>
      </w:r>
      <w:r w:rsidRPr="00B9129E">
        <w:rPr>
          <w:rFonts w:ascii="標楷體" w:eastAsia="標楷體" w:hAnsi="標楷體"/>
          <w:color w:val="auto"/>
          <w:lang w:eastAsia="zh-TW"/>
        </w:rPr>
        <w:t>11</w:t>
      </w:r>
      <w:r w:rsidRPr="00B9129E">
        <w:rPr>
          <w:rFonts w:ascii="標楷體" w:eastAsia="標楷體" w:hAnsi="標楷體" w:hint="eastAsia"/>
          <w:color w:val="auto"/>
          <w:lang w:eastAsia="zh-TW"/>
        </w:rPr>
        <w:t>3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學年度精進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國民中小學教師教學專業與課程品質整體推動計畫。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（三）花蓮縣</w:t>
      </w:r>
      <w:r w:rsidRPr="00B9129E">
        <w:rPr>
          <w:rFonts w:ascii="標楷體" w:eastAsia="標楷體" w:hAnsi="標楷體"/>
          <w:color w:val="auto"/>
          <w:lang w:eastAsia="zh-TW"/>
        </w:rPr>
        <w:t>11</w:t>
      </w:r>
      <w:r w:rsidRPr="00B9129E">
        <w:rPr>
          <w:rFonts w:ascii="標楷體" w:eastAsia="標楷體" w:hAnsi="標楷體" w:hint="eastAsia"/>
          <w:color w:val="auto"/>
          <w:lang w:eastAsia="zh-TW"/>
        </w:rPr>
        <w:t>3學年度國民教育輔導團整體團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務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計畫。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二、現況分析與需求評估:輔導員每人皆具備不同專業，透過專業的對話、學習、實踐及反思，進行十二年國教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新課綱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素養導向教學示例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的共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備、研討，提升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教師健體領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域的智能、課程與評量設計與教學能力。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三、目的：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42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</w:t>
      </w:r>
      <w:proofErr w:type="gramStart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一</w:t>
      </w:r>
      <w:proofErr w:type="gramEnd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)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充實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健康與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體育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領域召集人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對健康與體育領域專業行政知能。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42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二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)</w:t>
      </w:r>
      <w:proofErr w:type="gramStart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介紹健體領域</w:t>
      </w:r>
      <w:proofErr w:type="gramEnd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組織與教材與教法，增進教學效果。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42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三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)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提供輔導團與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健康與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體育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領域召集人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交流溝通之平台。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42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(四)</w:t>
      </w:r>
      <w:r w:rsidRPr="00B9129E">
        <w:rPr>
          <w:rFonts w:eastAsia="標楷體"/>
          <w:color w:val="auto"/>
          <w:lang w:eastAsia="zh-TW"/>
        </w:rPr>
        <w:t>宣導十二年國教重要政策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四、辦理單位：</w:t>
      </w:r>
    </w:p>
    <w:p w:rsidR="0064395F" w:rsidRPr="00B9129E" w:rsidRDefault="0064395F" w:rsidP="0064395F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B9129E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B9129E">
        <w:rPr>
          <w:rFonts w:ascii="標楷體" w:eastAsia="標楷體" w:hAnsi="標楷體" w:hint="eastAsia"/>
          <w:color w:val="auto"/>
          <w:lang w:eastAsia="zh-TW"/>
        </w:rPr>
        <w:t>) 指導單位：教育部國民及學前教育署</w:t>
      </w:r>
    </w:p>
    <w:p w:rsidR="0064395F" w:rsidRPr="00B9129E" w:rsidRDefault="0064395F" w:rsidP="0064395F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(二) 主辦單位：花蓮縣政府教育處</w:t>
      </w:r>
    </w:p>
    <w:p w:rsidR="0064395F" w:rsidRPr="00B9129E" w:rsidRDefault="0064395F" w:rsidP="0064395F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(三) 承辦單位：花蓮縣國教輔導團國中健康與體育領域輔導團</w:t>
      </w:r>
    </w:p>
    <w:p w:rsidR="0064395F" w:rsidRPr="00B9129E" w:rsidRDefault="0064395F" w:rsidP="0064395F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(四) 協辦單位：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花蓮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縣立國風國民中學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五、辦理時間及地點：</w:t>
      </w:r>
    </w:p>
    <w:p w:rsidR="0064395F" w:rsidRPr="00B9129E" w:rsidRDefault="0064395F" w:rsidP="0064395F">
      <w:pPr>
        <w:tabs>
          <w:tab w:val="left" w:pos="142"/>
        </w:tabs>
        <w:suppressAutoHyphens/>
        <w:autoSpaceDE w:val="0"/>
        <w:spacing w:line="480" w:lineRule="exact"/>
        <w:ind w:leftChars="295" w:left="1558" w:hangingChars="354" w:hanging="850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</w:t>
      </w:r>
      <w:proofErr w:type="gramStart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一</w:t>
      </w:r>
      <w:proofErr w:type="gramEnd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)時間:</w:t>
      </w:r>
      <w:r w:rsidRPr="00B9129E">
        <w:rPr>
          <w:rFonts w:eastAsia="標楷體"/>
          <w:color w:val="auto"/>
          <w:lang w:eastAsia="zh-TW"/>
        </w:rPr>
        <w:t xml:space="preserve"> </w:t>
      </w:r>
      <w:r w:rsidRPr="00B9129E">
        <w:rPr>
          <w:rFonts w:eastAsia="標楷體" w:hint="eastAsia"/>
          <w:color w:val="auto"/>
          <w:lang w:eastAsia="zh-TW"/>
        </w:rPr>
        <w:t>113</w:t>
      </w:r>
      <w:r w:rsidRPr="00B9129E">
        <w:rPr>
          <w:rFonts w:eastAsia="標楷體" w:hint="eastAsia"/>
          <w:color w:val="auto"/>
          <w:lang w:eastAsia="zh-TW"/>
        </w:rPr>
        <w:t>年</w:t>
      </w:r>
      <w:r w:rsidRPr="00B9129E">
        <w:rPr>
          <w:rFonts w:ascii="標楷體" w:eastAsia="標楷體" w:hAnsi="標楷體" w:hint="eastAsia"/>
          <w:color w:val="auto"/>
          <w:lang w:eastAsia="zh-TW"/>
        </w:rPr>
        <w:t>年10月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2</w:t>
      </w:r>
      <w:r>
        <w:rPr>
          <w:rFonts w:ascii="標楷體" w:eastAsia="標楷體" w:hAnsi="標楷體" w:cs="標楷體"/>
          <w:color w:val="auto"/>
          <w:kern w:val="1"/>
          <w:lang w:eastAsia="zh-TW"/>
        </w:rPr>
        <w:t>2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日(星期二)上午9:00-12:30分</w:t>
      </w:r>
    </w:p>
    <w:p w:rsidR="0064395F" w:rsidRPr="00B9129E" w:rsidRDefault="0064395F" w:rsidP="0064395F">
      <w:pPr>
        <w:ind w:leftChars="295" w:left="1558" w:hangingChars="354" w:hanging="850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(二)地點: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 xml:space="preserve"> 花蓮縣立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國風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國中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四樓圖書室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六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、參加對象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及人數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：本縣</w:t>
      </w:r>
      <w:proofErr w:type="gramStart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國中健體領域</w:t>
      </w:r>
      <w:proofErr w:type="gramEnd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召集人教師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約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30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人</w:t>
      </w:r>
    </w:p>
    <w:p w:rsidR="0064395F" w:rsidRPr="00B9129E" w:rsidRDefault="0064395F" w:rsidP="0064395F">
      <w:pPr>
        <w:suppressAutoHyphens/>
        <w:snapToGrid w:val="0"/>
        <w:spacing w:line="480" w:lineRule="exact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0"/>
          <w:lang w:eastAsia="zh-TW"/>
        </w:rPr>
        <w:t>七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、研習內容：</w:t>
      </w:r>
    </w:p>
    <w:p w:rsidR="0064395F" w:rsidRPr="00B9129E" w:rsidRDefault="0064395F" w:rsidP="0064395F">
      <w:pPr>
        <w:suppressAutoHyphens/>
        <w:snapToGrid w:val="0"/>
        <w:spacing w:line="480" w:lineRule="exact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第一場次</w:t>
      </w:r>
    </w:p>
    <w:tbl>
      <w:tblPr>
        <w:tblW w:w="7296" w:type="dxa"/>
        <w:jc w:val="center"/>
        <w:tblLayout w:type="fixed"/>
        <w:tblLook w:val="0000" w:firstRow="0" w:lastRow="0" w:firstColumn="0" w:lastColumn="0" w:noHBand="0" w:noVBand="0"/>
      </w:tblPr>
      <w:tblGrid>
        <w:gridCol w:w="1769"/>
        <w:gridCol w:w="3701"/>
        <w:gridCol w:w="1826"/>
      </w:tblGrid>
      <w:tr w:rsidR="0064395F" w:rsidRPr="00B9129E" w:rsidTr="00E652BA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時間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授課內容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講師、主持人</w:t>
            </w:r>
            <w:proofErr w:type="spellEnd"/>
          </w:p>
        </w:tc>
      </w:tr>
      <w:tr w:rsidR="0064395F" w:rsidRPr="00B9129E" w:rsidTr="00E652BA">
        <w:trPr>
          <w:trHeight w:val="303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8：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30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8: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5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報 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</w:p>
        </w:tc>
      </w:tr>
      <w:tr w:rsidR="0064395F" w:rsidRPr="00B9129E" w:rsidTr="00E652BA">
        <w:trPr>
          <w:trHeight w:val="395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8: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5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9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始業式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校長</w:t>
            </w:r>
            <w:proofErr w:type="spellEnd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/</w:t>
            </w:r>
            <w:proofErr w:type="spellStart"/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劉文彥</w:t>
            </w:r>
            <w:proofErr w:type="spellEnd"/>
          </w:p>
        </w:tc>
      </w:tr>
      <w:tr w:rsidR="0064395F" w:rsidRPr="00B9129E" w:rsidTr="00E652BA">
        <w:trPr>
          <w:trHeight w:val="765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9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1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3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napToGrid w:val="0"/>
              <w:jc w:val="center"/>
              <w:rPr>
                <w:rFonts w:ascii="標楷體" w:eastAsia="標楷體" w:hAnsi="標楷體"/>
                <w:color w:val="auto"/>
                <w:lang w:eastAsia="zh-TW"/>
              </w:rPr>
            </w:pPr>
            <w:r w:rsidRPr="00B846B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AI應用</w:t>
            </w:r>
            <w:proofErr w:type="gramStart"/>
            <w:r w:rsidRPr="00B846B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於健體</w:t>
            </w:r>
            <w:proofErr w:type="gramEnd"/>
            <w:r w:rsidRPr="00B846B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領域教學實作(二)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講師</w:t>
            </w:r>
          </w:p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楊志豪老師</w:t>
            </w:r>
            <w:r w:rsidRPr="00B9129E">
              <w:rPr>
                <w:rFonts w:ascii="標楷體" w:eastAsia="標楷體" w:hAnsi="標楷體" w:hint="eastAsia"/>
                <w:color w:val="auto"/>
                <w:lang w:eastAsia="zh-TW"/>
              </w:rPr>
              <w:t>(外聘)</w:t>
            </w:r>
          </w:p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</w:p>
        </w:tc>
      </w:tr>
      <w:tr w:rsidR="0064395F" w:rsidRPr="00B9129E" w:rsidTr="00E652BA">
        <w:trPr>
          <w:trHeight w:val="51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10: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3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~10: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休息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</w:p>
        </w:tc>
      </w:tr>
      <w:tr w:rsidR="0064395F" w:rsidRPr="00B9129E" w:rsidTr="00E652BA">
        <w:trPr>
          <w:trHeight w:val="78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10: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40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~1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2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Default="0064395F" w:rsidP="0064395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新式體適能</w:t>
            </w:r>
          </w:p>
          <w:p w:rsidR="0064395F" w:rsidRPr="00B9129E" w:rsidRDefault="0064395F" w:rsidP="0064395F">
            <w:pPr>
              <w:snapToGrid w:val="0"/>
              <w:jc w:val="center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檢測內容實作</w:t>
            </w:r>
            <w:r w:rsidRPr="00B846B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(二)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64395F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</w:p>
        </w:tc>
      </w:tr>
      <w:tr w:rsidR="0064395F" w:rsidRPr="00B9129E" w:rsidTr="00E652BA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12: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12:30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綜合座談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95F" w:rsidRPr="00B9129E" w:rsidRDefault="0064395F" w:rsidP="00E652BA">
            <w:pPr>
              <w:suppressAutoHyphens/>
              <w:snapToGrid w:val="0"/>
              <w:spacing w:line="480" w:lineRule="exact"/>
              <w:jc w:val="center"/>
              <w:rPr>
                <w:color w:val="auto"/>
                <w:kern w:val="1"/>
              </w:rPr>
            </w:pPr>
            <w:proofErr w:type="spellStart"/>
            <w:r w:rsidRPr="00B9129E">
              <w:rPr>
                <w:rFonts w:ascii="標楷體" w:eastAsia="標楷體" w:hAnsi="標楷體" w:cs="標楷體" w:hint="eastAsia"/>
                <w:color w:val="auto"/>
                <w:kern w:val="1"/>
              </w:rPr>
              <w:t>劉文彥</w:t>
            </w:r>
            <w:r w:rsidRPr="00B9129E">
              <w:rPr>
                <w:rFonts w:ascii="標楷體" w:eastAsia="標楷體" w:hAnsi="標楷體" w:cs="標楷體"/>
                <w:color w:val="auto"/>
                <w:kern w:val="1"/>
              </w:rPr>
              <w:t>校長</w:t>
            </w:r>
            <w:proofErr w:type="spellEnd"/>
          </w:p>
        </w:tc>
      </w:tr>
    </w:tbl>
    <w:p w:rsidR="0064395F" w:rsidRDefault="0064395F" w:rsidP="0064395F">
      <w:pPr>
        <w:rPr>
          <w:rFonts w:ascii="標楷體" w:eastAsia="標楷體" w:hAnsi="標楷體"/>
          <w:color w:val="auto"/>
          <w:lang w:eastAsia="zh-TW"/>
        </w:rPr>
      </w:pP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</w:p>
    <w:p w:rsidR="0064395F" w:rsidRPr="00B9129E" w:rsidRDefault="0064395F" w:rsidP="0064395F">
      <w:pPr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  <w:lang w:eastAsia="zh-TW"/>
        </w:rPr>
        <w:t>八</w:t>
      </w:r>
      <w:r w:rsidRPr="00B9129E">
        <w:rPr>
          <w:rFonts w:ascii="標楷體" w:eastAsia="標楷體" w:hAnsi="標楷體" w:hint="eastAsia"/>
          <w:color w:val="auto"/>
        </w:rPr>
        <w:t>、</w:t>
      </w:r>
      <w:proofErr w:type="spellStart"/>
      <w:r w:rsidRPr="00B9129E">
        <w:rPr>
          <w:rFonts w:ascii="標楷體" w:eastAsia="標楷體" w:hAnsi="標楷體" w:hint="eastAsia"/>
          <w:color w:val="auto"/>
        </w:rPr>
        <w:t>成效評估</w:t>
      </w:r>
      <w:proofErr w:type="spellEnd"/>
      <w:r w:rsidRPr="00B9129E">
        <w:rPr>
          <w:rFonts w:ascii="標楷體" w:eastAsia="標楷體" w:hAnsi="標楷體" w:hint="eastAsia"/>
          <w:color w:val="auto"/>
        </w:rPr>
        <w:t>：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516"/>
        <w:gridCol w:w="1311"/>
        <w:gridCol w:w="1701"/>
        <w:gridCol w:w="851"/>
      </w:tblGrid>
      <w:tr w:rsidR="0064395F" w:rsidRPr="00B9129E" w:rsidTr="00E652BA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/>
                <w:color w:val="auto"/>
              </w:rPr>
              <w:t>Guskey</w:t>
            </w:r>
            <w:proofErr w:type="spellEnd"/>
          </w:p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參考層面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目標</w:t>
            </w:r>
            <w:proofErr w:type="spellEnd"/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預期成效</w:t>
            </w:r>
            <w:proofErr w:type="spellEnd"/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評估方式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proofErr w:type="gramStart"/>
            <w:r w:rsidRPr="00B9129E">
              <w:rPr>
                <w:rFonts w:ascii="標楷體" w:eastAsia="標楷體" w:hAnsi="標楷體" w:hint="eastAsia"/>
                <w:color w:val="auto"/>
                <w:lang w:eastAsia="zh-TW"/>
              </w:rPr>
              <w:t>評估效標</w:t>
            </w:r>
            <w:proofErr w:type="gramEnd"/>
          </w:p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hint="eastAsia"/>
                <w:color w:val="auto"/>
                <w:lang w:eastAsia="zh-TW"/>
              </w:rPr>
              <w:t>（量化數據或質性描述）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評估工具</w:t>
            </w:r>
            <w:proofErr w:type="spellEnd"/>
          </w:p>
        </w:tc>
      </w:tr>
      <w:tr w:rsidR="0064395F" w:rsidRPr="00B9129E" w:rsidTr="00E652BA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參與者</w:t>
            </w:r>
            <w:proofErr w:type="spellEnd"/>
          </w:p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反應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提高本</w:t>
            </w:r>
            <w:proofErr w:type="gramStart"/>
            <w:r w:rsidRPr="00B9129E">
              <w:rPr>
                <w:rFonts w:eastAsia="標楷體"/>
                <w:color w:val="auto"/>
                <w:lang w:eastAsia="zh-TW"/>
              </w:rPr>
              <w:t>縣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健體</w:t>
            </w:r>
            <w:proofErr w:type="gramEnd"/>
            <w:r w:rsidRPr="00B9129E">
              <w:rPr>
                <w:rFonts w:eastAsia="標楷體"/>
                <w:bCs/>
                <w:color w:val="auto"/>
                <w:spacing w:val="-6"/>
                <w:lang w:eastAsia="zh-TW"/>
              </w:rPr>
              <w:t>領域教師</w:t>
            </w:r>
            <w:r w:rsidRPr="00B9129E">
              <w:rPr>
                <w:rFonts w:eastAsia="標楷體"/>
                <w:color w:val="auto"/>
                <w:lang w:eastAsia="zh-TW"/>
              </w:rPr>
              <w:t>的專業能力。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提昇本領域國教輔導團團員有效教學的能力。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問卷調查</w:t>
            </w:r>
          </w:p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焦點團體</w:t>
            </w:r>
          </w:p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訪談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  <w:proofErr w:type="spellStart"/>
            <w:r w:rsidRPr="00B9129E">
              <w:rPr>
                <w:rFonts w:eastAsia="標楷體"/>
                <w:color w:val="auto"/>
              </w:rPr>
              <w:t>量化統計及質性描述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  <w:proofErr w:type="spellStart"/>
            <w:r w:rsidRPr="00B9129E">
              <w:rPr>
                <w:rFonts w:eastAsia="標楷體"/>
                <w:color w:val="auto"/>
              </w:rPr>
              <w:t>研習問卷</w:t>
            </w:r>
            <w:proofErr w:type="spellEnd"/>
          </w:p>
        </w:tc>
      </w:tr>
      <w:tr w:rsidR="0064395F" w:rsidRPr="00B9129E" w:rsidTr="00E652BA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395F" w:rsidRPr="00B9129E" w:rsidRDefault="0064395F" w:rsidP="00E652BA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B9129E">
              <w:rPr>
                <w:rFonts w:ascii="標楷體" w:eastAsia="標楷體" w:hAnsi="標楷體" w:hint="eastAsia"/>
                <w:color w:val="auto"/>
              </w:rPr>
              <w:t>參與者使用新知能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激盪教師提供學生優良教學方案。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瞭解學員研習基本資料、綜合意見及教學疑難困境。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  <w:proofErr w:type="spellStart"/>
            <w:r w:rsidRPr="00B9129E">
              <w:rPr>
                <w:rFonts w:eastAsia="標楷體"/>
                <w:color w:val="auto"/>
              </w:rPr>
              <w:t>實際模擬操作</w:t>
            </w:r>
            <w:proofErr w:type="spellEnd"/>
          </w:p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  <w:proofErr w:type="spellStart"/>
            <w:r w:rsidRPr="00B9129E">
              <w:rPr>
                <w:rFonts w:eastAsia="標楷體"/>
                <w:color w:val="auto"/>
              </w:rPr>
              <w:t>量化統計及質性描述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395F" w:rsidRPr="00B9129E" w:rsidRDefault="0064395F" w:rsidP="00E652BA">
            <w:pPr>
              <w:rPr>
                <w:rFonts w:eastAsia="標楷體"/>
                <w:color w:val="auto"/>
              </w:rPr>
            </w:pPr>
            <w:proofErr w:type="spellStart"/>
            <w:r w:rsidRPr="00B9129E">
              <w:rPr>
                <w:rFonts w:eastAsia="標楷體"/>
                <w:color w:val="auto"/>
              </w:rPr>
              <w:t>研習問卷</w:t>
            </w:r>
            <w:proofErr w:type="spellEnd"/>
          </w:p>
        </w:tc>
      </w:tr>
    </w:tbl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九</w:t>
      </w:r>
      <w:r w:rsidRPr="00B9129E">
        <w:rPr>
          <w:rFonts w:ascii="標楷體" w:eastAsia="標楷體" w:hAnsi="標楷體" w:hint="eastAsia"/>
          <w:color w:val="auto"/>
          <w:lang w:eastAsia="zh-TW"/>
        </w:rPr>
        <w:t>、預期成效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260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（一）透過講師講述，</w:t>
      </w:r>
      <w:proofErr w:type="gramStart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增進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健體領域</w:t>
      </w:r>
      <w:proofErr w:type="gramEnd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召集人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對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課程創新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更深入之認知。</w:t>
      </w:r>
    </w:p>
    <w:p w:rsidR="0064395F" w:rsidRPr="00B9129E" w:rsidRDefault="0064395F" w:rsidP="0064395F">
      <w:pPr>
        <w:suppressAutoHyphens/>
        <w:snapToGrid w:val="0"/>
        <w:spacing w:line="480" w:lineRule="exact"/>
        <w:ind w:firstLine="260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（二）透過面對面之溝通流，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分享學校活動</w:t>
      </w:r>
      <w:proofErr w:type="gramStart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規</w:t>
      </w:r>
      <w:proofErr w:type="gramEnd"/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畫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。</w:t>
      </w:r>
    </w:p>
    <w:p w:rsidR="0064395F" w:rsidRPr="00B9129E" w:rsidRDefault="0064395F" w:rsidP="0064395F">
      <w:pPr>
        <w:suppressAutoHyphens/>
        <w:snapToGrid w:val="0"/>
        <w:spacing w:line="480" w:lineRule="exact"/>
        <w:ind w:left="2470" w:hanging="2470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 xml:space="preserve">  （三）透過講師講述，增進</w:t>
      </w:r>
      <w:proofErr w:type="gramStart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學校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健體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組織</w:t>
      </w:r>
      <w:proofErr w:type="gramEnd"/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管理之能力。</w:t>
      </w:r>
    </w:p>
    <w:p w:rsidR="0064395F" w:rsidRPr="00B9129E" w:rsidRDefault="0064395F" w:rsidP="0064395F">
      <w:pPr>
        <w:spacing w:line="400" w:lineRule="exact"/>
        <w:ind w:left="727" w:hangingChars="303" w:hanging="727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 xml:space="preserve">  （四）透過面對面之溝通，增進輔導團與學校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行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政主管間之交流</w:t>
      </w:r>
    </w:p>
    <w:p w:rsidR="0064395F" w:rsidRPr="00B9129E" w:rsidRDefault="0064395F" w:rsidP="0064395F">
      <w:pPr>
        <w:spacing w:line="400" w:lineRule="exact"/>
        <w:ind w:left="727" w:hangingChars="303" w:hanging="727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 xml:space="preserve">   (五)實施成效: </w:t>
      </w:r>
      <w:r w:rsidRPr="00B9129E">
        <w:rPr>
          <w:rFonts w:ascii="標楷體" w:eastAsia="標楷體" w:hAnsi="標楷體" w:hint="eastAsia"/>
          <w:bCs/>
          <w:color w:val="auto"/>
          <w:lang w:eastAsia="zh-TW"/>
        </w:rPr>
        <w:t>預期學員</w:t>
      </w:r>
      <w:r w:rsidRPr="00B9129E">
        <w:rPr>
          <w:rFonts w:ascii="標楷體" w:eastAsia="標楷體" w:hAnsi="標楷體" w:hint="eastAsia"/>
          <w:color w:val="auto"/>
          <w:lang w:eastAsia="zh-TW"/>
        </w:rPr>
        <w:t>滿意度及學習成效預計達到88%以上(約4.4等第)。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十、本計畫奉核後實施，修正時亦同。</w:t>
      </w:r>
    </w:p>
    <w:p w:rsidR="0064395F" w:rsidRPr="00B9129E" w:rsidRDefault="0064395F" w:rsidP="0064395F">
      <w:pPr>
        <w:rPr>
          <w:rFonts w:ascii="標楷體" w:eastAsia="標楷體" w:hAnsi="標楷體"/>
          <w:color w:val="auto"/>
          <w:lang w:eastAsia="zh-TW"/>
        </w:rPr>
      </w:pPr>
    </w:p>
    <w:p w:rsidR="00385C78" w:rsidRDefault="00385C78">
      <w:pPr>
        <w:rPr>
          <w:lang w:eastAsia="zh-TW"/>
        </w:rPr>
      </w:pPr>
    </w:p>
    <w:sectPr w:rsidR="00385C78" w:rsidSect="00643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F"/>
    <w:rsid w:val="00385C78"/>
    <w:rsid w:val="0064395F"/>
    <w:rsid w:val="00C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4141-3528-42F0-A2D0-7C0B1C7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5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董嘉傑</cp:lastModifiedBy>
  <cp:revision>2</cp:revision>
  <dcterms:created xsi:type="dcterms:W3CDTF">2024-10-17T08:37:00Z</dcterms:created>
  <dcterms:modified xsi:type="dcterms:W3CDTF">2024-10-17T08:37:00Z</dcterms:modified>
</cp:coreProperties>
</file>