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4A" w:rsidRPr="00050EB6" w:rsidRDefault="00C7466A" w:rsidP="008F2BA1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  <w:r w:rsidRPr="00050EB6">
        <w:rPr>
          <w:rFonts w:ascii="標楷體" w:eastAsia="標楷體" w:hAnsi="標楷體" w:hint="eastAsia"/>
          <w:b/>
          <w:sz w:val="28"/>
          <w:szCs w:val="28"/>
        </w:rPr>
        <w:t>國民中學教學正常化視導紀錄表</w:t>
      </w:r>
      <w:r w:rsidR="00224875" w:rsidRPr="00050EB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224875" w:rsidRPr="00050EB6">
        <w:rPr>
          <w:rFonts w:ascii="標楷體" w:eastAsia="標楷體" w:hAnsi="標楷體" w:hint="eastAsia"/>
          <w:b/>
          <w:sz w:val="28"/>
          <w:szCs w:val="28"/>
        </w:rPr>
        <w:t>自評表</w:t>
      </w:r>
      <w:proofErr w:type="gramEnd"/>
      <w:r w:rsidR="00224875" w:rsidRPr="00050EB6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50EB6" w:rsidRPr="00050EB6" w:rsidRDefault="00050EB6" w:rsidP="00050EB6">
      <w:pPr>
        <w:rPr>
          <w:rFonts w:ascii="標楷體" w:eastAsia="標楷體" w:hAnsi="標楷體"/>
          <w:b/>
          <w:szCs w:val="28"/>
        </w:rPr>
      </w:pPr>
    </w:p>
    <w:tbl>
      <w:tblPr>
        <w:tblW w:w="4972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0"/>
        <w:gridCol w:w="2370"/>
        <w:gridCol w:w="287"/>
        <w:gridCol w:w="289"/>
        <w:gridCol w:w="302"/>
        <w:gridCol w:w="302"/>
        <w:gridCol w:w="302"/>
        <w:gridCol w:w="305"/>
        <w:gridCol w:w="2458"/>
        <w:gridCol w:w="2746"/>
      </w:tblGrid>
      <w:tr w:rsidR="00050EB6" w:rsidRPr="00050EB6" w:rsidTr="00050EB6">
        <w:trPr>
          <w:cantSplit/>
          <w:trHeight w:val="624"/>
          <w:jc w:val="center"/>
        </w:trPr>
        <w:tc>
          <w:tcPr>
            <w:tcW w:w="1763" w:type="pct"/>
            <w:gridSpan w:val="2"/>
            <w:tcBorders>
              <w:top w:val="thinThickSmallGap" w:sz="24" w:space="0" w:color="auto"/>
            </w:tcBorders>
            <w:vAlign w:val="center"/>
          </w:tcPr>
          <w:p w:rsidR="00050EB6" w:rsidRPr="00050EB6" w:rsidRDefault="00050EB6" w:rsidP="00786E61">
            <w:pPr>
              <w:wordWrap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學校名稱</w:t>
            </w:r>
          </w:p>
        </w:tc>
        <w:tc>
          <w:tcPr>
            <w:tcW w:w="3237" w:type="pct"/>
            <w:gridSpan w:val="8"/>
            <w:tcBorders>
              <w:top w:val="thinThickSmallGap" w:sz="24" w:space="0" w:color="auto"/>
            </w:tcBorders>
            <w:vAlign w:val="bottom"/>
          </w:tcPr>
          <w:p w:rsidR="00050EB6" w:rsidRPr="00050EB6" w:rsidRDefault="00050EB6" w:rsidP="00050EB6">
            <w:pPr>
              <w:wordWrap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花蓮縣</w:t>
            </w:r>
            <w:r w:rsidRPr="00050EB6">
              <w:rPr>
                <w:rFonts w:ascii="標楷體" w:eastAsia="標楷體" w:hAnsi="標楷體"/>
                <w:color w:val="000000"/>
                <w:sz w:val="22"/>
                <w:szCs w:val="18"/>
                <w:u w:val="single"/>
              </w:rPr>
              <w:t xml:space="preserve">            </w:t>
            </w:r>
            <w:r w:rsidRPr="00050EB6">
              <w:rPr>
                <w:rFonts w:ascii="標楷體" w:eastAsia="標楷體" w:hAnsi="標楷體" w:hint="eastAsia"/>
                <w:color w:val="000000"/>
                <w:sz w:val="22"/>
                <w:szCs w:val="18"/>
              </w:rPr>
              <w:t>國民中學</w:t>
            </w:r>
          </w:p>
        </w:tc>
      </w:tr>
      <w:tr w:rsidR="00050EB6" w:rsidRPr="00050EB6" w:rsidTr="00050EB6">
        <w:trPr>
          <w:cantSplit/>
          <w:trHeight w:val="510"/>
          <w:jc w:val="center"/>
        </w:trPr>
        <w:tc>
          <w:tcPr>
            <w:tcW w:w="1763" w:type="pct"/>
            <w:gridSpan w:val="2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視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導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項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133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完全符合且具特色</w:t>
            </w:r>
          </w:p>
        </w:tc>
        <w:tc>
          <w:tcPr>
            <w:tcW w:w="134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完全符合</w:t>
            </w:r>
          </w:p>
        </w:tc>
        <w:tc>
          <w:tcPr>
            <w:tcW w:w="140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大部分符合</w:t>
            </w:r>
          </w:p>
        </w:tc>
        <w:tc>
          <w:tcPr>
            <w:tcW w:w="140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部分符合</w:t>
            </w:r>
          </w:p>
        </w:tc>
        <w:tc>
          <w:tcPr>
            <w:tcW w:w="140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少部分符合</w:t>
            </w:r>
          </w:p>
        </w:tc>
        <w:tc>
          <w:tcPr>
            <w:tcW w:w="14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1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完全不符合</w:t>
            </w:r>
          </w:p>
        </w:tc>
        <w:tc>
          <w:tcPr>
            <w:tcW w:w="2409" w:type="pct"/>
            <w:gridSpan w:val="2"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質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性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描</w:t>
            </w:r>
            <w:r w:rsidRPr="00050EB6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</w:t>
            </w: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述</w:t>
            </w:r>
          </w:p>
        </w:tc>
      </w:tr>
      <w:tr w:rsidR="00050EB6" w:rsidRPr="00050EB6" w:rsidTr="00050EB6">
        <w:trPr>
          <w:cantSplit/>
          <w:trHeight w:val="975"/>
          <w:jc w:val="center"/>
        </w:trPr>
        <w:tc>
          <w:tcPr>
            <w:tcW w:w="1763" w:type="pct"/>
            <w:gridSpan w:val="2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Align w:val="center"/>
          </w:tcPr>
          <w:p w:rsidR="00050EB6" w:rsidRPr="00050EB6" w:rsidRDefault="00050EB6" w:rsidP="00786E61">
            <w:pPr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優點</w:t>
            </w:r>
          </w:p>
        </w:tc>
        <w:tc>
          <w:tcPr>
            <w:tcW w:w="1271" w:type="pct"/>
            <w:vAlign w:val="center"/>
          </w:tcPr>
          <w:p w:rsidR="00050EB6" w:rsidRPr="00050EB6" w:rsidRDefault="00050EB6" w:rsidP="00786E61">
            <w:pPr>
              <w:wordWrap w:val="0"/>
              <w:spacing w:line="320" w:lineRule="exac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kern w:val="0"/>
                <w:sz w:val="18"/>
                <w:szCs w:val="18"/>
              </w:rPr>
              <w:t>待改進事項與建議</w:t>
            </w: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一、編班正常化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1)</w:t>
            </w: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學生編班作業流程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ind w:rightChars="-7" w:right="-1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導師編排作業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ind w:rightChars="-7" w:right="-1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30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3.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分組學習辦理情形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ind w:rightChars="-7" w:right="-1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二、課程教學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 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正常化</w:t>
            </w: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proofErr w:type="gramStart"/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依課綱之</w:t>
            </w:r>
            <w:proofErr w:type="gramEnd"/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規定排授課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  <w:u w:val="single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  <w:u w:val="single"/>
              </w:rPr>
              <w:t>2)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師資人力結構依專長授課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3.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未具專長授課增能研習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  <w:highlight w:val="lightGray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三、評量正常化</w:t>
            </w: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1.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依據課程計畫之進度、教學與評量目標設計多元評量方式，並建立命題及審題機制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3)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 w:val="restar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050EB6">
        <w:trPr>
          <w:cantSplit/>
          <w:trHeight w:val="794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097" w:type="pct"/>
            <w:vAlign w:val="center"/>
          </w:tcPr>
          <w:p w:rsidR="00050EB6" w:rsidRPr="00050EB6" w:rsidRDefault="00050EB6" w:rsidP="00050EB6">
            <w:pPr>
              <w:widowControl/>
              <w:wordWrap w:val="0"/>
              <w:snapToGrid w:val="0"/>
              <w:spacing w:line="220" w:lineRule="exact"/>
              <w:ind w:left="182" w:hangingChars="101" w:hanging="182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/>
                <w:color w:val="000000"/>
                <w:sz w:val="18"/>
                <w:szCs w:val="18"/>
              </w:rPr>
              <w:t>2.</w:t>
            </w: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遵守定期紙筆評量與模擬考之相關規定</w:t>
            </w:r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050EB6">
              <w:rPr>
                <w:rFonts w:ascii="標楷體" w:eastAsia="標楷體" w:hAnsi="標楷體" w:hint="eastAsia"/>
                <w:b/>
                <w:color w:val="000000"/>
                <w:sz w:val="18"/>
                <w:szCs w:val="18"/>
              </w:rPr>
              <w:t>註</w:t>
            </w:r>
            <w:proofErr w:type="gramEnd"/>
            <w:r w:rsidRPr="00050EB6">
              <w:rPr>
                <w:rFonts w:ascii="標楷體" w:eastAsia="標楷體" w:hAnsi="標楷體"/>
                <w:b/>
                <w:color w:val="000000"/>
                <w:sz w:val="18"/>
                <w:szCs w:val="18"/>
              </w:rPr>
              <w:t>4)</w:t>
            </w:r>
          </w:p>
        </w:tc>
        <w:tc>
          <w:tcPr>
            <w:tcW w:w="133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0" w:type="pct"/>
          </w:tcPr>
          <w:p w:rsidR="00050EB6" w:rsidRPr="00050EB6" w:rsidRDefault="00050EB6" w:rsidP="00050EB6">
            <w:pPr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</w:tcPr>
          <w:p w:rsidR="00050EB6" w:rsidRPr="00050EB6" w:rsidRDefault="00050EB6" w:rsidP="00050EB6">
            <w:pPr>
              <w:widowControl/>
              <w:wordWrap w:val="0"/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138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1" w:type="pct"/>
            <w:vMerge/>
          </w:tcPr>
          <w:p w:rsidR="00050EB6" w:rsidRPr="00050EB6" w:rsidRDefault="00050EB6" w:rsidP="00786E61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050EB6" w:rsidRPr="00050EB6" w:rsidTr="00786E61">
        <w:trPr>
          <w:cantSplit/>
          <w:trHeight w:val="156"/>
          <w:jc w:val="center"/>
        </w:trPr>
        <w:tc>
          <w:tcPr>
            <w:tcW w:w="666" w:type="pct"/>
            <w:vMerge w:val="restart"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四、視導結果</w:t>
            </w: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□完全符合教學正常化，且有特色，建議教育部國民及學前教育署轉請直轄市、縣（市）政府鼓勵學校。</w:t>
            </w:r>
          </w:p>
        </w:tc>
      </w:tr>
      <w:tr w:rsidR="00050EB6" w:rsidRPr="00050EB6" w:rsidTr="00786E61">
        <w:trPr>
          <w:cantSplit/>
          <w:trHeight w:val="220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ind w:left="180" w:hangingChars="100" w:hanging="18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□完全符合教學正常化。</w:t>
            </w:r>
          </w:p>
        </w:tc>
      </w:tr>
      <w:tr w:rsidR="00050EB6" w:rsidRPr="00050EB6" w:rsidTr="00786E61">
        <w:trPr>
          <w:cantSplit/>
          <w:trHeight w:val="137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□大部分符合教學正常化，請直轄市、縣（市）政府對該校進行追蹤輔導。</w:t>
            </w:r>
          </w:p>
        </w:tc>
      </w:tr>
      <w:tr w:rsidR="00050EB6" w:rsidRPr="00050EB6" w:rsidTr="00786E61">
        <w:trPr>
          <w:cantSplit/>
          <w:trHeight w:val="72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□部分符合教學正常化，請直轄市、縣（市）政府對該校進行追蹤輔導。</w:t>
            </w:r>
          </w:p>
        </w:tc>
      </w:tr>
      <w:tr w:rsidR="00050EB6" w:rsidRPr="00050EB6" w:rsidTr="00786E61">
        <w:trPr>
          <w:cantSplit/>
          <w:trHeight w:val="72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□少部分符合教學正常化，請直轄市、縣（市）政府對該校進行追蹤輔導。</w:t>
            </w:r>
          </w:p>
        </w:tc>
      </w:tr>
      <w:tr w:rsidR="00050EB6" w:rsidRPr="00050EB6" w:rsidTr="00786E61">
        <w:trPr>
          <w:cantSplit/>
          <w:trHeight w:val="72"/>
          <w:jc w:val="center"/>
        </w:trPr>
        <w:tc>
          <w:tcPr>
            <w:tcW w:w="666" w:type="pct"/>
            <w:vMerge/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334" w:type="pct"/>
            <w:gridSpan w:val="9"/>
            <w:vAlign w:val="center"/>
          </w:tcPr>
          <w:p w:rsidR="00050EB6" w:rsidRPr="00050EB6" w:rsidRDefault="00050EB6" w:rsidP="00786E61">
            <w:pPr>
              <w:wordWrap w:val="0"/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□完全不符合教學正常化，請直轄市、縣（市）政府對該校進行追蹤輔導。</w:t>
            </w:r>
          </w:p>
        </w:tc>
      </w:tr>
      <w:tr w:rsidR="00050EB6" w:rsidRPr="00050EB6" w:rsidTr="00050EB6">
        <w:trPr>
          <w:cantSplit/>
          <w:trHeight w:val="737"/>
          <w:jc w:val="center"/>
        </w:trPr>
        <w:tc>
          <w:tcPr>
            <w:tcW w:w="666" w:type="pct"/>
            <w:tcBorders>
              <w:bottom w:val="thickThinSmallGap" w:sz="24" w:space="0" w:color="auto"/>
            </w:tcBorders>
            <w:vAlign w:val="center"/>
          </w:tcPr>
          <w:p w:rsidR="00050EB6" w:rsidRPr="00050EB6" w:rsidRDefault="00050EB6" w:rsidP="00786E61">
            <w:pPr>
              <w:wordWrap w:val="0"/>
              <w:spacing w:line="360" w:lineRule="exact"/>
              <w:ind w:left="360" w:hangingChars="200" w:hanging="36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050EB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五、綜合建議</w:t>
            </w:r>
          </w:p>
        </w:tc>
        <w:tc>
          <w:tcPr>
            <w:tcW w:w="4334" w:type="pct"/>
            <w:gridSpan w:val="9"/>
            <w:tcBorders>
              <w:bottom w:val="thickThinSmallGap" w:sz="24" w:space="0" w:color="auto"/>
            </w:tcBorders>
            <w:vAlign w:val="center"/>
          </w:tcPr>
          <w:p w:rsidR="00050EB6" w:rsidRPr="00050EB6" w:rsidRDefault="00050EB6" w:rsidP="00786E61">
            <w:pPr>
              <w:wordWrap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</w:tbl>
    <w:p w:rsidR="00050EB6" w:rsidRPr="00050EB6" w:rsidRDefault="00050EB6" w:rsidP="00050EB6">
      <w:pPr>
        <w:spacing w:line="280" w:lineRule="exact"/>
        <w:rPr>
          <w:rFonts w:ascii="標楷體" w:eastAsia="標楷體" w:hAnsi="標楷體"/>
          <w:b/>
          <w:color w:val="000000"/>
          <w:sz w:val="20"/>
          <w:szCs w:val="20"/>
        </w:rPr>
      </w:pPr>
    </w:p>
    <w:p w:rsidR="00050EB6" w:rsidRPr="00050EB6" w:rsidRDefault="00050EB6" w:rsidP="00050EB6">
      <w:pPr>
        <w:spacing w:line="280" w:lineRule="exact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sz w:val="20"/>
          <w:szCs w:val="20"/>
        </w:rPr>
        <w:t>1: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對於各年級</w:t>
      </w: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總班數僅</w:t>
      </w:r>
      <w:proofErr w:type="gramEnd"/>
      <w:r w:rsidRPr="00050EB6">
        <w:rPr>
          <w:rFonts w:ascii="標楷體" w:eastAsia="標楷體" w:hAnsi="標楷體"/>
          <w:b/>
          <w:color w:val="000000"/>
          <w:sz w:val="20"/>
          <w:szCs w:val="20"/>
        </w:rPr>
        <w:t>1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班之學校免進行</w:t>
      </w: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視導該項目</w:t>
      </w:r>
      <w:proofErr w:type="gramEnd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。</w:t>
      </w:r>
    </w:p>
    <w:p w:rsidR="00050EB6" w:rsidRP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</w:rPr>
        <w:t>2: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學校除正式課程需</w:t>
      </w:r>
      <w:proofErr w:type="gramStart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依課綱規定</w:t>
      </w:r>
      <w:proofErr w:type="gramEnd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，且應依據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「國民中小學教學正常化實施要點」第四點略</w:t>
      </w:r>
      <w:proofErr w:type="gramStart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以</w:t>
      </w:r>
      <w:proofErr w:type="gramEnd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，辦理課後輔導及寒暑假學藝活動應以自由參加為原則，課程內容以復習為主，不得為新進度之教授。課後輔導每日不超過下午</w:t>
      </w:r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  <w:u w:val="single"/>
        </w:rPr>
        <w:t>5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時</w:t>
      </w:r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  <w:u w:val="single"/>
        </w:rPr>
        <w:t>30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  <w:u w:val="single"/>
        </w:rPr>
        <w:t>分，且不得於週末或節日辦理；寒暑假學藝活動應於週一至週五上午辦理。</w:t>
      </w:r>
    </w:p>
    <w:p w:rsidR="00050EB6" w:rsidRP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w w:val="90"/>
          <w:sz w:val="20"/>
          <w:szCs w:val="20"/>
        </w:rPr>
        <w:t>3:</w:t>
      </w:r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學校應對於成績評量結果未達及格基準者建立預警及輔導措施，</w:t>
      </w:r>
      <w:proofErr w:type="gramStart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研</w:t>
      </w:r>
      <w:proofErr w:type="gramEnd"/>
      <w:r w:rsidRPr="00050EB6">
        <w:rPr>
          <w:rFonts w:ascii="標楷體" w:eastAsia="標楷體" w:hAnsi="標楷體" w:hint="eastAsia"/>
          <w:b/>
          <w:color w:val="000000"/>
          <w:w w:val="90"/>
          <w:sz w:val="20"/>
          <w:szCs w:val="20"/>
        </w:rPr>
        <w:t>擬學習輔導機制，落實補救教學及相關補救措施。</w:t>
      </w:r>
    </w:p>
    <w:p w:rsid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 w:hint="eastAsia"/>
          <w:b/>
          <w:color w:val="000000"/>
          <w:sz w:val="20"/>
          <w:szCs w:val="20"/>
        </w:rPr>
      </w:pPr>
      <w:proofErr w:type="gramStart"/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050EB6">
        <w:rPr>
          <w:rFonts w:ascii="標楷體" w:eastAsia="標楷體" w:hAnsi="標楷體"/>
          <w:b/>
          <w:color w:val="000000"/>
          <w:sz w:val="20"/>
          <w:szCs w:val="20"/>
        </w:rPr>
        <w:t>4: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學校應依據「國民小學及國民中學學生成績評量準則」第</w:t>
      </w:r>
      <w:r w:rsidRPr="00050EB6">
        <w:rPr>
          <w:rFonts w:ascii="標楷體" w:eastAsia="標楷體" w:hAnsi="標楷體"/>
          <w:b/>
          <w:color w:val="000000"/>
          <w:sz w:val="20"/>
          <w:szCs w:val="20"/>
        </w:rPr>
        <w:t>10</w:t>
      </w:r>
      <w:r w:rsidRPr="00050EB6">
        <w:rPr>
          <w:rFonts w:ascii="標楷體" w:eastAsia="標楷體" w:hAnsi="標楷體" w:hint="eastAsia"/>
          <w:b/>
          <w:color w:val="000000"/>
          <w:sz w:val="20"/>
          <w:szCs w:val="20"/>
        </w:rPr>
        <w:t>條不得公開呈現個別學生在班級及學校排名。</w:t>
      </w:r>
    </w:p>
    <w:p w:rsidR="00050EB6" w:rsidRDefault="00050EB6" w:rsidP="00050EB6">
      <w:pPr>
        <w:spacing w:line="280" w:lineRule="exact"/>
        <w:ind w:left="426" w:hangingChars="213" w:hanging="426"/>
        <w:rPr>
          <w:rFonts w:ascii="標楷體" w:eastAsia="標楷體" w:hAnsi="標楷體" w:hint="eastAsia"/>
          <w:b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3609"/>
        <w:gridCol w:w="3610"/>
      </w:tblGrid>
      <w:tr w:rsidR="00050EB6" w:rsidRPr="00786E61" w:rsidTr="00786E61">
        <w:trPr>
          <w:trHeight w:val="397"/>
        </w:trPr>
        <w:tc>
          <w:tcPr>
            <w:tcW w:w="3609" w:type="dxa"/>
            <w:shd w:val="clear" w:color="auto" w:fill="auto"/>
            <w:vAlign w:val="center"/>
          </w:tcPr>
          <w:p w:rsidR="00050EB6" w:rsidRPr="00786E61" w:rsidRDefault="00050EB6" w:rsidP="00786E61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6E61">
              <w:rPr>
                <w:rFonts w:ascii="標楷體" w:eastAsia="標楷體" w:hAnsi="標楷體" w:hint="eastAsia"/>
                <w:b/>
              </w:rPr>
              <w:t>承辦人：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50EB6" w:rsidRPr="00786E61" w:rsidRDefault="00050EB6" w:rsidP="00786E61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6E61">
              <w:rPr>
                <w:rFonts w:ascii="標楷體" w:eastAsia="標楷體" w:hAnsi="標楷體" w:hint="eastAsia"/>
                <w:b/>
              </w:rPr>
              <w:t>主管：</w:t>
            </w:r>
          </w:p>
        </w:tc>
        <w:tc>
          <w:tcPr>
            <w:tcW w:w="3610" w:type="dxa"/>
            <w:shd w:val="clear" w:color="auto" w:fill="auto"/>
            <w:vAlign w:val="center"/>
          </w:tcPr>
          <w:p w:rsidR="00050EB6" w:rsidRPr="00786E61" w:rsidRDefault="00050EB6" w:rsidP="00786E61">
            <w:pPr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6E61">
              <w:rPr>
                <w:rFonts w:ascii="標楷體" w:eastAsia="標楷體" w:hAnsi="標楷體" w:hint="eastAsia"/>
                <w:b/>
              </w:rPr>
              <w:t>校長：</w:t>
            </w:r>
          </w:p>
        </w:tc>
      </w:tr>
    </w:tbl>
    <w:p w:rsidR="009D157B" w:rsidRPr="00050EB6" w:rsidRDefault="009D157B" w:rsidP="00050EB6">
      <w:pPr>
        <w:rPr>
          <w:rFonts w:ascii="標楷體" w:eastAsia="標楷體" w:hAnsi="標楷體" w:hint="eastAsia"/>
          <w:b/>
        </w:rPr>
      </w:pPr>
    </w:p>
    <w:sectPr w:rsidR="009D157B" w:rsidRPr="00050EB6" w:rsidSect="00A66B2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533" w:rsidRDefault="00B01533" w:rsidP="00C7466A">
      <w:r>
        <w:separator/>
      </w:r>
    </w:p>
  </w:endnote>
  <w:endnote w:type="continuationSeparator" w:id="0">
    <w:p w:rsidR="00B01533" w:rsidRDefault="00B01533" w:rsidP="00C7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533" w:rsidRDefault="00B01533" w:rsidP="00C7466A">
      <w:r>
        <w:separator/>
      </w:r>
    </w:p>
  </w:footnote>
  <w:footnote w:type="continuationSeparator" w:id="0">
    <w:p w:rsidR="00B01533" w:rsidRDefault="00B01533" w:rsidP="00C7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647"/>
    <w:multiLevelType w:val="multilevel"/>
    <w:tmpl w:val="357AF2A4"/>
    <w:styleLink w:val="444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eastAsia="標楷體"/>
        <w:sz w:val="24"/>
        <w:szCs w:val="24"/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1134"/>
        </w:tabs>
        <w:ind w:left="1134" w:hanging="567"/>
      </w:pPr>
      <w:rPr>
        <w:rFonts w:ascii="標楷體" w:eastAsia="標楷體" w:hAnsi="標楷體" w:cs="Times New Roman" w:hint="eastAsia"/>
      </w:rPr>
    </w:lvl>
    <w:lvl w:ilvl="3">
      <w:start w:val="1"/>
      <w:numFmt w:val="taiwaneseCountingThousand"/>
      <w:lvlText w:val="（%4）"/>
      <w:lvlJc w:val="left"/>
      <w:pPr>
        <w:tabs>
          <w:tab w:val="num" w:pos="1701"/>
        </w:tabs>
        <w:ind w:left="1701" w:hanging="850"/>
      </w:pPr>
      <w:rPr>
        <w:rFonts w:ascii="標楷體" w:eastAsia="標楷體" w:hAnsi="標楷體" w:hint="eastAsia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57B"/>
    <w:rsid w:val="00050EB6"/>
    <w:rsid w:val="001A78D6"/>
    <w:rsid w:val="001D51E4"/>
    <w:rsid w:val="001E5E09"/>
    <w:rsid w:val="00224875"/>
    <w:rsid w:val="002C7C58"/>
    <w:rsid w:val="002D3648"/>
    <w:rsid w:val="00476760"/>
    <w:rsid w:val="00527378"/>
    <w:rsid w:val="005F09B1"/>
    <w:rsid w:val="00786E61"/>
    <w:rsid w:val="0081094A"/>
    <w:rsid w:val="008F2BA1"/>
    <w:rsid w:val="00925659"/>
    <w:rsid w:val="009D157B"/>
    <w:rsid w:val="00A66B23"/>
    <w:rsid w:val="00B01533"/>
    <w:rsid w:val="00C7466A"/>
    <w:rsid w:val="00D14944"/>
    <w:rsid w:val="00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4444">
    <w:name w:val="4444"/>
    <w:rsid w:val="009D157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466A"/>
    <w:rPr>
      <w:kern w:val="2"/>
    </w:rPr>
  </w:style>
  <w:style w:type="paragraph" w:styleId="a5">
    <w:name w:val="footer"/>
    <w:basedOn w:val="a"/>
    <w:link w:val="a6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7466A"/>
    <w:rPr>
      <w:kern w:val="2"/>
    </w:rPr>
  </w:style>
  <w:style w:type="table" w:styleId="a7">
    <w:name w:val="Table Grid"/>
    <w:basedOn w:val="a1"/>
    <w:uiPriority w:val="59"/>
    <w:rsid w:val="0005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2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4444">
    <w:name w:val="4444"/>
    <w:rsid w:val="009D157B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7466A"/>
    <w:rPr>
      <w:kern w:val="2"/>
    </w:rPr>
  </w:style>
  <w:style w:type="paragraph" w:styleId="a5">
    <w:name w:val="footer"/>
    <w:basedOn w:val="a"/>
    <w:link w:val="a6"/>
    <w:uiPriority w:val="99"/>
    <w:unhideWhenUsed/>
    <w:rsid w:val="00C74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7466A"/>
    <w:rPr>
      <w:kern w:val="2"/>
    </w:rPr>
  </w:style>
  <w:style w:type="table" w:styleId="a7">
    <w:name w:val="Table Grid"/>
    <w:basedOn w:val="a1"/>
    <w:uiPriority w:val="59"/>
    <w:rsid w:val="0005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2</cp:revision>
  <dcterms:created xsi:type="dcterms:W3CDTF">2020-12-01T06:52:00Z</dcterms:created>
  <dcterms:modified xsi:type="dcterms:W3CDTF">2020-12-01T06:52:00Z</dcterms:modified>
</cp:coreProperties>
</file>